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BAE3" w14:textId="75D217BE" w:rsidR="00033265" w:rsidRDefault="00272FE4">
      <w:pPr>
        <w:pBdr>
          <w:top w:val="nil"/>
          <w:left w:val="nil"/>
          <w:bottom w:val="nil"/>
          <w:right w:val="nil"/>
          <w:between w:val="nil"/>
        </w:pBdr>
        <w:tabs>
          <w:tab w:val="left" w:pos="510"/>
          <w:tab w:val="center" w:pos="4680"/>
          <w:tab w:val="right" w:pos="9360"/>
        </w:tabs>
        <w:rPr>
          <w:b/>
          <w:color w:val="000000"/>
          <w:sz w:val="32"/>
          <w:szCs w:val="32"/>
        </w:rPr>
      </w:pPr>
      <w:r>
        <w:rPr>
          <w:b/>
          <w:noProof/>
          <w:color w:val="000000"/>
          <w:sz w:val="32"/>
          <w:szCs w:val="32"/>
        </w:rPr>
        <w:drawing>
          <wp:inline distT="0" distB="0" distL="0" distR="0" wp14:anchorId="17E5DDAB" wp14:editId="503D6865">
            <wp:extent cx="5715000" cy="497455"/>
            <wp:effectExtent l="0" t="0" r="0" b="0"/>
            <wp:docPr id="3"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AI-generated content may be incorrect."/>
                    <pic:cNvPicPr/>
                  </pic:nvPicPr>
                  <pic:blipFill rotWithShape="1">
                    <a:blip r:embed="rId8">
                      <a:extLst>
                        <a:ext uri="{28A0092B-C50C-407E-A947-70E740481C1C}">
                          <a14:useLocalDpi xmlns:a14="http://schemas.microsoft.com/office/drawing/2010/main" val="0"/>
                        </a:ext>
                      </a:extLst>
                    </a:blip>
                    <a:srcRect t="33758"/>
                    <a:stretch/>
                  </pic:blipFill>
                  <pic:spPr bwMode="auto">
                    <a:xfrm>
                      <a:off x="0" y="0"/>
                      <a:ext cx="5861552" cy="510211"/>
                    </a:xfrm>
                    <a:prstGeom prst="rect">
                      <a:avLst/>
                    </a:prstGeom>
                    <a:ln>
                      <a:noFill/>
                    </a:ln>
                    <a:extLst>
                      <a:ext uri="{53640926-AAD7-44D8-BBD7-CCE9431645EC}">
                        <a14:shadowObscured xmlns:a14="http://schemas.microsoft.com/office/drawing/2010/main"/>
                      </a:ext>
                    </a:extLst>
                  </pic:spPr>
                </pic:pic>
              </a:graphicData>
            </a:graphic>
          </wp:inline>
        </w:drawing>
      </w:r>
      <w:r w:rsidR="00740EB8">
        <w:rPr>
          <w:b/>
          <w:color w:val="000000"/>
          <w:sz w:val="32"/>
          <w:szCs w:val="32"/>
        </w:rPr>
        <w:t xml:space="preserve">                                     </w:t>
      </w:r>
    </w:p>
    <w:p w14:paraId="48E83863" w14:textId="77777777" w:rsidR="00D164AA" w:rsidRDefault="00D164AA">
      <w:pPr>
        <w:tabs>
          <w:tab w:val="left" w:pos="510"/>
          <w:tab w:val="center" w:pos="4680"/>
          <w:tab w:val="right" w:pos="9360"/>
        </w:tabs>
        <w:jc w:val="center"/>
        <w:rPr>
          <w:b/>
          <w:sz w:val="32"/>
          <w:szCs w:val="32"/>
        </w:rPr>
      </w:pPr>
    </w:p>
    <w:p w14:paraId="590254E1" w14:textId="0833DE6A" w:rsidR="00033265" w:rsidRDefault="00740EB8">
      <w:pPr>
        <w:tabs>
          <w:tab w:val="left" w:pos="510"/>
          <w:tab w:val="center" w:pos="4680"/>
          <w:tab w:val="right" w:pos="9360"/>
        </w:tabs>
        <w:jc w:val="center"/>
        <w:rPr>
          <w:b/>
          <w:sz w:val="32"/>
          <w:szCs w:val="32"/>
        </w:rPr>
      </w:pPr>
      <w:r>
        <w:rPr>
          <w:b/>
          <w:sz w:val="32"/>
          <w:szCs w:val="32"/>
        </w:rPr>
        <w:t>Başlık Ortalanmış, İlk Harfler Büyük Olarak,</w:t>
      </w:r>
    </w:p>
    <w:p w14:paraId="497F2157" w14:textId="77777777" w:rsidR="00033265" w:rsidRDefault="00740EB8">
      <w:pPr>
        <w:tabs>
          <w:tab w:val="left" w:pos="510"/>
          <w:tab w:val="center" w:pos="4680"/>
          <w:tab w:val="right" w:pos="9360"/>
        </w:tabs>
        <w:jc w:val="center"/>
        <w:rPr>
          <w:b/>
          <w:sz w:val="32"/>
          <w:szCs w:val="32"/>
        </w:rPr>
      </w:pPr>
      <w:r>
        <w:rPr>
          <w:b/>
          <w:sz w:val="32"/>
          <w:szCs w:val="32"/>
        </w:rPr>
        <w:t xml:space="preserve">Kalın, </w:t>
      </w:r>
      <w:proofErr w:type="spellStart"/>
      <w:r>
        <w:rPr>
          <w:b/>
          <w:sz w:val="32"/>
          <w:szCs w:val="32"/>
        </w:rPr>
        <w:t>Calibri</w:t>
      </w:r>
      <w:proofErr w:type="spellEnd"/>
      <w:r>
        <w:rPr>
          <w:b/>
          <w:sz w:val="32"/>
          <w:szCs w:val="32"/>
        </w:rPr>
        <w:t xml:space="preserve"> 16 Punto</w:t>
      </w:r>
    </w:p>
    <w:p w14:paraId="4D2F7103" w14:textId="77777777" w:rsidR="00272FE4" w:rsidRPr="00272FE4" w:rsidRDefault="00272FE4">
      <w:pPr>
        <w:tabs>
          <w:tab w:val="left" w:pos="510"/>
          <w:tab w:val="center" w:pos="4680"/>
          <w:tab w:val="right" w:pos="9360"/>
        </w:tabs>
        <w:jc w:val="center"/>
        <w:rPr>
          <w:bCs/>
          <w:sz w:val="28"/>
          <w:szCs w:val="28"/>
        </w:rPr>
      </w:pPr>
    </w:p>
    <w:p w14:paraId="040B6B14" w14:textId="77777777" w:rsidR="00272FE4" w:rsidRDefault="00272FE4" w:rsidP="00272FE4">
      <w:pPr>
        <w:pBdr>
          <w:top w:val="nil"/>
          <w:left w:val="nil"/>
          <w:bottom w:val="nil"/>
          <w:right w:val="nil"/>
          <w:between w:val="nil"/>
        </w:pBdr>
        <w:tabs>
          <w:tab w:val="left" w:pos="510"/>
          <w:tab w:val="center" w:pos="4680"/>
          <w:tab w:val="right" w:pos="9360"/>
        </w:tabs>
        <w:jc w:val="center"/>
        <w:rPr>
          <w:color w:val="000000"/>
          <w:vertAlign w:val="superscript"/>
        </w:rPr>
      </w:pPr>
      <w:r>
        <w:rPr>
          <w:color w:val="000000"/>
        </w:rPr>
        <w:t xml:space="preserve">Yazar Adı Soyadı </w:t>
      </w:r>
      <w:r>
        <w:rPr>
          <w:color w:val="000000"/>
          <w:vertAlign w:val="superscript"/>
        </w:rPr>
        <w:t>1</w:t>
      </w:r>
      <w:r>
        <w:rPr>
          <w:noProof/>
          <w:color w:val="000000"/>
          <w:vertAlign w:val="superscript"/>
        </w:rPr>
        <w:drawing>
          <wp:inline distT="0" distB="0" distL="0" distR="0" wp14:anchorId="4ECDA2C0" wp14:editId="41E96DAD">
            <wp:extent cx="168165" cy="168165"/>
            <wp:effectExtent l="0" t="0" r="0" b="0"/>
            <wp:docPr id="2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8165" cy="168165"/>
                    </a:xfrm>
                    <a:prstGeom prst="rect">
                      <a:avLst/>
                    </a:prstGeom>
                    <a:ln/>
                  </pic:spPr>
                </pic:pic>
              </a:graphicData>
            </a:graphic>
          </wp:inline>
        </w:drawing>
      </w:r>
      <w:r>
        <w:rPr>
          <w:color w:val="000000"/>
        </w:rPr>
        <w:t>;  Yazar Adı Soyadı</w:t>
      </w:r>
      <w:r>
        <w:rPr>
          <w:color w:val="000000"/>
          <w:vertAlign w:val="superscript"/>
        </w:rPr>
        <w:t>2</w:t>
      </w:r>
      <w:r>
        <w:rPr>
          <w:noProof/>
          <w:color w:val="000000"/>
          <w:vertAlign w:val="superscript"/>
        </w:rPr>
        <w:drawing>
          <wp:inline distT="0" distB="0" distL="0" distR="0" wp14:anchorId="33215C17" wp14:editId="21D6BAD2">
            <wp:extent cx="168165" cy="168165"/>
            <wp:effectExtent l="0" t="0" r="0" b="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8165" cy="168165"/>
                    </a:xfrm>
                    <a:prstGeom prst="rect">
                      <a:avLst/>
                    </a:prstGeom>
                    <a:ln/>
                  </pic:spPr>
                </pic:pic>
              </a:graphicData>
            </a:graphic>
          </wp:inline>
        </w:drawing>
      </w:r>
    </w:p>
    <w:p w14:paraId="4517A107" w14:textId="77777777" w:rsidR="00272FE4" w:rsidRDefault="00272FE4" w:rsidP="00272FE4">
      <w:pPr>
        <w:pBdr>
          <w:top w:val="nil"/>
          <w:left w:val="nil"/>
          <w:bottom w:val="nil"/>
          <w:right w:val="nil"/>
          <w:between w:val="nil"/>
        </w:pBdr>
        <w:tabs>
          <w:tab w:val="left" w:pos="510"/>
          <w:tab w:val="center" w:pos="4680"/>
          <w:tab w:val="right" w:pos="9360"/>
        </w:tabs>
        <w:jc w:val="center"/>
        <w:rPr>
          <w:color w:val="000000"/>
        </w:rPr>
      </w:pPr>
      <w:r>
        <w:rPr>
          <w:color w:val="000000"/>
          <w:vertAlign w:val="superscript"/>
        </w:rPr>
        <w:t>1</w:t>
      </w:r>
      <w:r>
        <w:rPr>
          <w:color w:val="000000"/>
        </w:rPr>
        <w:t xml:space="preserve">Kurum ismi; </w:t>
      </w:r>
      <w:r>
        <w:rPr>
          <w:color w:val="000000"/>
          <w:vertAlign w:val="superscript"/>
        </w:rPr>
        <w:t>2</w:t>
      </w:r>
      <w:r>
        <w:rPr>
          <w:color w:val="000000"/>
        </w:rPr>
        <w:t>Kurum ismi</w:t>
      </w:r>
    </w:p>
    <w:p w14:paraId="36895D50" w14:textId="77777777" w:rsidR="00272FE4" w:rsidRDefault="00272FE4" w:rsidP="00272FE4">
      <w:pPr>
        <w:pBdr>
          <w:top w:val="nil"/>
          <w:left w:val="nil"/>
          <w:bottom w:val="nil"/>
          <w:right w:val="nil"/>
          <w:between w:val="nil"/>
        </w:pBdr>
        <w:tabs>
          <w:tab w:val="left" w:pos="510"/>
          <w:tab w:val="center" w:pos="4680"/>
          <w:tab w:val="right" w:pos="9360"/>
        </w:tabs>
        <w:jc w:val="center"/>
        <w:rPr>
          <w:color w:val="000000"/>
        </w:rPr>
      </w:pPr>
      <w:proofErr w:type="gramStart"/>
      <w:r>
        <w:rPr>
          <w:color w:val="000000"/>
          <w:vertAlign w:val="superscript"/>
        </w:rPr>
        <w:t>1</w:t>
      </w:r>
      <w:r>
        <w:rPr>
          <w:color w:val="000000"/>
        </w:rPr>
        <w:t>e</w:t>
      </w:r>
      <w:proofErr w:type="gramEnd"/>
      <w:r>
        <w:rPr>
          <w:color w:val="000000"/>
        </w:rPr>
        <w:t xml:space="preserve">-posta; </w:t>
      </w:r>
      <w:proofErr w:type="gramStart"/>
      <w:r>
        <w:rPr>
          <w:color w:val="000000"/>
          <w:vertAlign w:val="superscript"/>
        </w:rPr>
        <w:t>2</w:t>
      </w:r>
      <w:r>
        <w:rPr>
          <w:color w:val="000000"/>
        </w:rPr>
        <w:t>e</w:t>
      </w:r>
      <w:proofErr w:type="gramEnd"/>
      <w:r>
        <w:rPr>
          <w:color w:val="000000"/>
        </w:rPr>
        <w:t>-posta</w:t>
      </w:r>
    </w:p>
    <w:p w14:paraId="7C25B2E8" w14:textId="77777777" w:rsidR="00033265" w:rsidRDefault="00033265">
      <w:pPr>
        <w:tabs>
          <w:tab w:val="left" w:pos="510"/>
          <w:tab w:val="center" w:pos="4680"/>
          <w:tab w:val="right" w:pos="9360"/>
        </w:tabs>
        <w:jc w:val="center"/>
      </w:pPr>
      <w:bookmarkStart w:id="0" w:name="_heading=h.30j0zll" w:colFirst="0" w:colLast="0"/>
      <w:bookmarkEnd w:id="0"/>
    </w:p>
    <w:p w14:paraId="4D4D7753" w14:textId="6787A958" w:rsidR="00033265" w:rsidRDefault="00740EB8">
      <w:pPr>
        <w:keepNext/>
        <w:tabs>
          <w:tab w:val="left" w:pos="510"/>
          <w:tab w:val="center" w:pos="4680"/>
          <w:tab w:val="right" w:pos="9360"/>
        </w:tabs>
        <w:jc w:val="center"/>
        <w:rPr>
          <w:b/>
          <w:sz w:val="24"/>
          <w:szCs w:val="24"/>
        </w:rPr>
      </w:pPr>
      <w:r>
        <w:rPr>
          <w:b/>
          <w:sz w:val="24"/>
          <w:szCs w:val="24"/>
        </w:rPr>
        <w:t>Özet</w:t>
      </w:r>
    </w:p>
    <w:p w14:paraId="30B822C8" w14:textId="77777777" w:rsidR="00BA693D" w:rsidRDefault="00BA693D" w:rsidP="00BA693D">
      <w:pPr>
        <w:keepNext/>
        <w:tabs>
          <w:tab w:val="left" w:pos="510"/>
          <w:tab w:val="center" w:pos="4680"/>
          <w:tab w:val="right" w:pos="9360"/>
        </w:tabs>
        <w:rPr>
          <w:i/>
          <w:szCs w:val="24"/>
        </w:rPr>
      </w:pPr>
      <w:r w:rsidRPr="00BA693D">
        <w:rPr>
          <w:i/>
          <w:szCs w:val="24"/>
        </w:rPr>
        <w:t>Lorem ipsum dolor sit amet. Est quaerat error rem provident ratione aut internos quis eos impedit beatae. Ab sapiente saepe et sunt adipisci non sunt corporis. Et debitis nesciunt vel quam dolorem et internos voluptas id galisum sunt aut ducimus labore aut explicabo quidem.Eos laborum laboriosam et velit incidunt vel itaque cupiditate est inventore error in soluta ullam rem sint dolorem. Vel dolores quia nam perspiciatis adipisci 33 dolorem error. Non ipsam voluptas vel dolores dolore est illo quibusdam sed repudiandae corrupti.</w:t>
      </w:r>
    </w:p>
    <w:p w14:paraId="1383A46A" w14:textId="71631C43" w:rsidR="00A262E4" w:rsidRPr="00A262E4" w:rsidRDefault="00A262E4" w:rsidP="00BA693D">
      <w:pPr>
        <w:keepNext/>
        <w:tabs>
          <w:tab w:val="left" w:pos="510"/>
          <w:tab w:val="center" w:pos="4680"/>
          <w:tab w:val="right" w:pos="9360"/>
        </w:tabs>
        <w:rPr>
          <w:b/>
          <w:i/>
        </w:rPr>
      </w:pPr>
      <w:r w:rsidRPr="00A262E4">
        <w:rPr>
          <w:b/>
          <w:i/>
        </w:rPr>
        <w:t xml:space="preserve">Anahtar Kelimeler: </w:t>
      </w:r>
      <w:r w:rsidRPr="00A262E4">
        <w:rPr>
          <w:i/>
        </w:rPr>
        <w:t>Calibr</w:t>
      </w:r>
      <w:r w:rsidR="00BA693D">
        <w:rPr>
          <w:i/>
        </w:rPr>
        <w:t>i 10 punto, virgül ile ayrılmış, e</w:t>
      </w:r>
      <w:r w:rsidR="00BA693D" w:rsidRPr="00BA693D">
        <w:rPr>
          <w:i/>
        </w:rPr>
        <w:t>n az 3 anahtar kelime yazılmalıdır.</w:t>
      </w:r>
    </w:p>
    <w:p w14:paraId="529A77FE" w14:textId="77777777" w:rsidR="00A262E4" w:rsidRDefault="00A262E4">
      <w:pPr>
        <w:keepNext/>
        <w:tabs>
          <w:tab w:val="left" w:pos="510"/>
          <w:tab w:val="center" w:pos="4680"/>
          <w:tab w:val="right" w:pos="9360"/>
        </w:tabs>
        <w:rPr>
          <w:sz w:val="28"/>
          <w:szCs w:val="28"/>
        </w:rPr>
      </w:pPr>
    </w:p>
    <w:p w14:paraId="612D8733" w14:textId="77777777" w:rsidR="00033265" w:rsidRDefault="00740EB8">
      <w:pPr>
        <w:keepNext/>
        <w:numPr>
          <w:ilvl w:val="0"/>
          <w:numId w:val="1"/>
        </w:numPr>
        <w:tabs>
          <w:tab w:val="left" w:pos="510"/>
          <w:tab w:val="center" w:pos="4680"/>
          <w:tab w:val="right" w:pos="9360"/>
        </w:tabs>
        <w:rPr>
          <w:sz w:val="28"/>
          <w:szCs w:val="28"/>
        </w:rPr>
      </w:pPr>
      <w:r>
        <w:rPr>
          <w:b/>
          <w:sz w:val="28"/>
          <w:szCs w:val="28"/>
        </w:rPr>
        <w:t>Birincil Başlık</w:t>
      </w:r>
    </w:p>
    <w:p w14:paraId="139F062C" w14:textId="1358AE37" w:rsidR="00BA693D" w:rsidRDefault="00BA693D">
      <w:pPr>
        <w:tabs>
          <w:tab w:val="left" w:pos="510"/>
          <w:tab w:val="center" w:pos="4680"/>
          <w:tab w:val="right" w:pos="9360"/>
        </w:tabs>
        <w:jc w:val="both"/>
        <w:rPr>
          <w:sz w:val="22"/>
          <w:szCs w:val="22"/>
        </w:rPr>
      </w:pPr>
      <w:r>
        <w:rPr>
          <w:sz w:val="22"/>
          <w:szCs w:val="22"/>
        </w:rPr>
        <w:t xml:space="preserve">Genişletilmiş özet teslimi 1000-1200 kelime aralığında olmalıdır. Özetlerde, çalışmanın literatürdeki yeri kısaca belirtildikten sonra amaç, kapsam ve yöntemin net olarak açıklanması ve bulguların tartışılması beklenmektedir. </w:t>
      </w:r>
    </w:p>
    <w:p w14:paraId="4C202E0D" w14:textId="77777777" w:rsidR="00BA693D" w:rsidRDefault="00BA693D">
      <w:pPr>
        <w:tabs>
          <w:tab w:val="left" w:pos="510"/>
          <w:tab w:val="center" w:pos="4680"/>
          <w:tab w:val="right" w:pos="9360"/>
        </w:tabs>
        <w:jc w:val="both"/>
        <w:rPr>
          <w:sz w:val="22"/>
          <w:szCs w:val="22"/>
        </w:rPr>
      </w:pPr>
    </w:p>
    <w:p w14:paraId="44B0F6A9" w14:textId="2EA8A8C5" w:rsidR="00033265" w:rsidRDefault="00A262E4">
      <w:pPr>
        <w:tabs>
          <w:tab w:val="left" w:pos="510"/>
          <w:tab w:val="center" w:pos="4680"/>
          <w:tab w:val="right" w:pos="9360"/>
        </w:tabs>
        <w:jc w:val="both"/>
        <w:rPr>
          <w:sz w:val="22"/>
          <w:szCs w:val="22"/>
        </w:rPr>
      </w:pPr>
      <w:r>
        <w:rPr>
          <w:sz w:val="22"/>
          <w:szCs w:val="22"/>
        </w:rPr>
        <w:t>B</w:t>
      </w:r>
      <w:r w:rsidR="00740EB8">
        <w:rPr>
          <w:sz w:val="22"/>
          <w:szCs w:val="22"/>
        </w:rPr>
        <w:t xml:space="preserve">irincil Başlık “1.” biçiminde numaralandırılır, Calibri 14 puntoda ve kalın olmalıdır. Kelimelerin ilk harfi büyük olmalıdır. Bildiri uzunluğu tüm metin; resimler, tablolar ve boşluklarla birlikte en fazla 10 sayfa olmalıdır. Bildiriler bilgisayar ortamında MS Word kelime işlemciyle, *.doc veya .docx formatında yazılmalıdır. </w:t>
      </w:r>
    </w:p>
    <w:p w14:paraId="53F3797A" w14:textId="77777777" w:rsidR="00033265" w:rsidRDefault="00033265">
      <w:pPr>
        <w:tabs>
          <w:tab w:val="left" w:pos="510"/>
          <w:tab w:val="center" w:pos="4680"/>
          <w:tab w:val="right" w:pos="9360"/>
        </w:tabs>
        <w:jc w:val="both"/>
        <w:rPr>
          <w:sz w:val="22"/>
          <w:szCs w:val="22"/>
        </w:rPr>
      </w:pPr>
    </w:p>
    <w:p w14:paraId="3E880D1F" w14:textId="77777777" w:rsidR="00033265" w:rsidRDefault="00740EB8">
      <w:pPr>
        <w:keepNext/>
        <w:numPr>
          <w:ilvl w:val="1"/>
          <w:numId w:val="1"/>
        </w:numPr>
        <w:tabs>
          <w:tab w:val="left" w:pos="510"/>
          <w:tab w:val="center" w:pos="4680"/>
          <w:tab w:val="right" w:pos="9360"/>
        </w:tabs>
        <w:rPr>
          <w:b/>
          <w:sz w:val="22"/>
          <w:szCs w:val="22"/>
        </w:rPr>
      </w:pPr>
      <w:r>
        <w:rPr>
          <w:b/>
          <w:sz w:val="22"/>
          <w:szCs w:val="22"/>
        </w:rPr>
        <w:t>İkincil Başlık</w:t>
      </w:r>
    </w:p>
    <w:p w14:paraId="046C22E6" w14:textId="77777777" w:rsidR="00033265" w:rsidRDefault="00740EB8">
      <w:pPr>
        <w:tabs>
          <w:tab w:val="left" w:pos="510"/>
          <w:tab w:val="center" w:pos="4680"/>
          <w:tab w:val="right" w:pos="9360"/>
        </w:tabs>
        <w:jc w:val="both"/>
        <w:rPr>
          <w:sz w:val="22"/>
          <w:szCs w:val="22"/>
        </w:rPr>
      </w:pPr>
      <w:r>
        <w:rPr>
          <w:sz w:val="22"/>
          <w:szCs w:val="22"/>
        </w:rPr>
        <w:t>İkincil Başlık “1.1.” biçiminde numaralandırılır, Calibri 11 puntoda ve kalın olmalıdır. Kelimelerin ilk harfi büyük olmalıdır.</w:t>
      </w:r>
    </w:p>
    <w:p w14:paraId="438393B7" w14:textId="77777777" w:rsidR="00033265" w:rsidRDefault="00033265">
      <w:pPr>
        <w:tabs>
          <w:tab w:val="left" w:pos="510"/>
          <w:tab w:val="center" w:pos="4680"/>
          <w:tab w:val="right" w:pos="9360"/>
        </w:tabs>
        <w:jc w:val="both"/>
        <w:rPr>
          <w:sz w:val="22"/>
          <w:szCs w:val="22"/>
        </w:rPr>
      </w:pPr>
    </w:p>
    <w:p w14:paraId="29C6BC3B" w14:textId="77777777" w:rsidR="00033265" w:rsidRDefault="00740EB8">
      <w:pPr>
        <w:keepNext/>
        <w:numPr>
          <w:ilvl w:val="0"/>
          <w:numId w:val="1"/>
        </w:numPr>
        <w:tabs>
          <w:tab w:val="left" w:pos="510"/>
          <w:tab w:val="center" w:pos="4680"/>
          <w:tab w:val="right" w:pos="9360"/>
        </w:tabs>
        <w:rPr>
          <w:sz w:val="28"/>
          <w:szCs w:val="28"/>
        </w:rPr>
      </w:pPr>
      <w:r>
        <w:rPr>
          <w:b/>
          <w:sz w:val="28"/>
          <w:szCs w:val="28"/>
        </w:rPr>
        <w:t>Yazım Kuralları</w:t>
      </w:r>
    </w:p>
    <w:p w14:paraId="482FFABA" w14:textId="77777777" w:rsidR="00033265" w:rsidRDefault="00740EB8">
      <w:pPr>
        <w:keepNext/>
        <w:numPr>
          <w:ilvl w:val="1"/>
          <w:numId w:val="1"/>
        </w:numPr>
        <w:tabs>
          <w:tab w:val="left" w:pos="510"/>
          <w:tab w:val="center" w:pos="4680"/>
          <w:tab w:val="right" w:pos="9360"/>
        </w:tabs>
        <w:rPr>
          <w:b/>
          <w:sz w:val="22"/>
          <w:szCs w:val="22"/>
        </w:rPr>
      </w:pPr>
      <w:r>
        <w:rPr>
          <w:b/>
          <w:sz w:val="22"/>
          <w:szCs w:val="22"/>
        </w:rPr>
        <w:t>Sayfa ve Kenar Boşlukları</w:t>
      </w:r>
    </w:p>
    <w:p w14:paraId="73B27C7F" w14:textId="77777777" w:rsidR="00033265" w:rsidRDefault="00740EB8">
      <w:pPr>
        <w:tabs>
          <w:tab w:val="left" w:pos="510"/>
          <w:tab w:val="center" w:pos="4680"/>
          <w:tab w:val="right" w:pos="9360"/>
        </w:tabs>
        <w:jc w:val="both"/>
        <w:rPr>
          <w:sz w:val="22"/>
          <w:szCs w:val="22"/>
        </w:rPr>
      </w:pPr>
      <w:r>
        <w:rPr>
          <w:sz w:val="22"/>
          <w:szCs w:val="22"/>
        </w:rPr>
        <w:t xml:space="preserve">Bildiri metni A4 boyutlu (210 x 297mm) kağıda üstten, alttan, sağ ve sol yanlardan 2,5 cm boşluk bırakılarak yazılmalıdır. Bu şablon kullanıldığı takdirde üstbilgi ve altbilgilerin değiştirilmesine gerek yoktur. Bu şablon kullanılmazsa yazıda üstbilgi, altbilgi veya sayfa sayısı kullanılmamalıdır. Yukarıda örneği verildiği gibi yazar e-posta adresleri ve kurum bilgisi dipnot olarak belirtilmelidir. </w:t>
      </w:r>
    </w:p>
    <w:p w14:paraId="215F068E" w14:textId="77777777" w:rsidR="00033265" w:rsidRDefault="00033265">
      <w:pPr>
        <w:tabs>
          <w:tab w:val="left" w:pos="510"/>
          <w:tab w:val="center" w:pos="4680"/>
          <w:tab w:val="right" w:pos="9360"/>
        </w:tabs>
        <w:jc w:val="both"/>
        <w:rPr>
          <w:sz w:val="22"/>
          <w:szCs w:val="22"/>
        </w:rPr>
      </w:pPr>
    </w:p>
    <w:p w14:paraId="558B3726" w14:textId="77777777" w:rsidR="00033265" w:rsidRDefault="00740EB8">
      <w:pPr>
        <w:keepNext/>
        <w:numPr>
          <w:ilvl w:val="1"/>
          <w:numId w:val="1"/>
        </w:numPr>
        <w:tabs>
          <w:tab w:val="left" w:pos="510"/>
          <w:tab w:val="center" w:pos="4680"/>
          <w:tab w:val="right" w:pos="9360"/>
        </w:tabs>
        <w:rPr>
          <w:b/>
          <w:sz w:val="22"/>
          <w:szCs w:val="22"/>
        </w:rPr>
      </w:pPr>
      <w:r>
        <w:rPr>
          <w:b/>
          <w:sz w:val="22"/>
          <w:szCs w:val="22"/>
        </w:rPr>
        <w:t>İlk Sayfa Başı</w:t>
      </w:r>
    </w:p>
    <w:p w14:paraId="58CF842B" w14:textId="41F3E728" w:rsidR="00033265" w:rsidRDefault="00BA693D">
      <w:pPr>
        <w:tabs>
          <w:tab w:val="left" w:pos="510"/>
          <w:tab w:val="center" w:pos="4680"/>
          <w:tab w:val="right" w:pos="9360"/>
        </w:tabs>
        <w:jc w:val="both"/>
        <w:rPr>
          <w:sz w:val="22"/>
          <w:szCs w:val="22"/>
        </w:rPr>
      </w:pPr>
      <w:r>
        <w:rPr>
          <w:sz w:val="22"/>
          <w:szCs w:val="22"/>
        </w:rPr>
        <w:t>Özet ve</w:t>
      </w:r>
      <w:r w:rsidR="00740EB8">
        <w:rPr>
          <w:sz w:val="22"/>
          <w:szCs w:val="22"/>
        </w:rPr>
        <w:t xml:space="preserve"> anahtar sözcükler ilk sayfada bitmelidir. </w:t>
      </w:r>
      <w:r w:rsidR="00740EB8">
        <w:rPr>
          <w:b/>
          <w:sz w:val="22"/>
          <w:szCs w:val="22"/>
        </w:rPr>
        <w:t>Bu şablonda verilen ayarların aynısı kullanılabilir.</w:t>
      </w:r>
    </w:p>
    <w:p w14:paraId="2C0E5DE2" w14:textId="77777777" w:rsidR="00033265" w:rsidRDefault="00033265">
      <w:pPr>
        <w:tabs>
          <w:tab w:val="left" w:pos="510"/>
          <w:tab w:val="center" w:pos="4680"/>
          <w:tab w:val="right" w:pos="9360"/>
        </w:tabs>
        <w:jc w:val="both"/>
        <w:rPr>
          <w:sz w:val="22"/>
          <w:szCs w:val="22"/>
        </w:rPr>
      </w:pPr>
    </w:p>
    <w:p w14:paraId="3E346F08" w14:textId="77777777" w:rsidR="00033265" w:rsidRDefault="00740EB8">
      <w:pPr>
        <w:keepNext/>
        <w:numPr>
          <w:ilvl w:val="1"/>
          <w:numId w:val="1"/>
        </w:numPr>
        <w:tabs>
          <w:tab w:val="left" w:pos="510"/>
          <w:tab w:val="center" w:pos="4680"/>
          <w:tab w:val="right" w:pos="9360"/>
        </w:tabs>
        <w:rPr>
          <w:b/>
          <w:sz w:val="22"/>
          <w:szCs w:val="22"/>
        </w:rPr>
      </w:pPr>
      <w:r>
        <w:rPr>
          <w:b/>
          <w:sz w:val="22"/>
          <w:szCs w:val="22"/>
        </w:rPr>
        <w:t>Genel Metin Akışı</w:t>
      </w:r>
    </w:p>
    <w:p w14:paraId="7C946E21" w14:textId="77777777" w:rsidR="00033265" w:rsidRDefault="00740EB8">
      <w:pPr>
        <w:tabs>
          <w:tab w:val="left" w:pos="510"/>
          <w:tab w:val="center" w:pos="4680"/>
          <w:tab w:val="right" w:pos="9360"/>
        </w:tabs>
        <w:jc w:val="both"/>
        <w:rPr>
          <w:sz w:val="22"/>
          <w:szCs w:val="22"/>
        </w:rPr>
      </w:pPr>
      <w:r>
        <w:rPr>
          <w:sz w:val="22"/>
          <w:szCs w:val="22"/>
        </w:rPr>
        <w:t xml:space="preserve">Metinde paragraf başında satır başı mesafesi bırakılmayacaktır. Metin için Calibri 11 punto yazı karakteri kullanılmalıdır. </w:t>
      </w:r>
    </w:p>
    <w:p w14:paraId="61C60CE4" w14:textId="59935CA5" w:rsidR="006F4013" w:rsidRDefault="006F4013" w:rsidP="00D15738">
      <w:pPr>
        <w:tabs>
          <w:tab w:val="left" w:pos="510"/>
          <w:tab w:val="center" w:pos="4680"/>
          <w:tab w:val="right" w:pos="9360"/>
        </w:tabs>
        <w:jc w:val="both"/>
        <w:rPr>
          <w:sz w:val="22"/>
          <w:szCs w:val="22"/>
        </w:rPr>
      </w:pPr>
    </w:p>
    <w:p w14:paraId="54FAC6BD" w14:textId="252F2561" w:rsidR="00E83285" w:rsidRDefault="00E83285">
      <w:pPr>
        <w:rPr>
          <w:sz w:val="22"/>
          <w:szCs w:val="22"/>
        </w:rPr>
      </w:pPr>
      <w:r>
        <w:rPr>
          <w:sz w:val="22"/>
          <w:szCs w:val="22"/>
        </w:rPr>
        <w:br w:type="page"/>
      </w:r>
    </w:p>
    <w:p w14:paraId="0F25AB46" w14:textId="16D741E6" w:rsidR="00033265" w:rsidRDefault="00740EB8" w:rsidP="00A262E4">
      <w:pPr>
        <w:keepNext/>
        <w:rPr>
          <w:b/>
          <w:sz w:val="28"/>
          <w:szCs w:val="28"/>
        </w:rPr>
      </w:pPr>
      <w:r>
        <w:rPr>
          <w:b/>
          <w:sz w:val="28"/>
          <w:szCs w:val="28"/>
        </w:rPr>
        <w:lastRenderedPageBreak/>
        <w:t>KAYNAKLAR</w:t>
      </w:r>
    </w:p>
    <w:p w14:paraId="33285E4B" w14:textId="31A63538" w:rsidR="00033265" w:rsidRDefault="00740EB8">
      <w:r>
        <w:t xml:space="preserve">Aşağıda örneklenen APA 7 referans stilinin kullanılması önerilir. Referanslar Calibri 10 punto ile yazılmalı, satır aralığı 1 punto olmalıdır. Referans gösterimi için paragraf iletişim kutusunda girintiler ve aralıklar sekmesinden asılı girintileme seçeneği seçilmelidir (girinti değeri 1,27 cm). Referanslar yazar soy isimlerinin alfabetik sıralamasına göre sıralanmalı, aynı yazarlı kaynak bilgisi için kronolojik sıra takip edilmelidir. APA Referans Stili’nin büyük küçük harf kuralı ve yazım kuralları takip edilmelidir. APA Referans </w:t>
      </w:r>
      <w:r w:rsidR="005727A1">
        <w:t>Stili</w:t>
      </w:r>
      <w:r>
        <w:t xml:space="preserve"> ile ilgili detaylı bilgilere  </w:t>
      </w:r>
      <w:hyperlink r:id="rId10">
        <w:r>
          <w:rPr>
            <w:u w:val="single"/>
          </w:rPr>
          <w:t>http://www.apastyle.org/</w:t>
        </w:r>
      </w:hyperlink>
      <w:r>
        <w:t xml:space="preserve">  </w:t>
      </w:r>
      <w:hyperlink r:id="rId11">
        <w:r>
          <w:rPr>
            <w:u w:val="single"/>
          </w:rPr>
          <w:t>https://apastyle.apa.org/instructional-aids/reference-examples.pdf</w:t>
        </w:r>
      </w:hyperlink>
      <w:r>
        <w:t xml:space="preserve"> ve  </w:t>
      </w:r>
      <w:hyperlink r:id="rId12">
        <w:r>
          <w:rPr>
            <w:u w:val="single"/>
          </w:rPr>
          <w:t>https://dergipark.org.tr/tr/pub/nsb/page/9435</w:t>
        </w:r>
      </w:hyperlink>
      <w:r>
        <w:t xml:space="preserve"> internet adresinden ulaşılabilir. Referanslar tamamen İngilizce verilmelidir. Bazı referans gösterim örnekleri aşağıda verilmiştir:</w:t>
      </w:r>
    </w:p>
    <w:p w14:paraId="2EB63020" w14:textId="77777777" w:rsidR="00033265" w:rsidRDefault="00033265">
      <w:pPr>
        <w:rPr>
          <w:b/>
        </w:rPr>
      </w:pPr>
    </w:p>
    <w:p w14:paraId="5CB7F685" w14:textId="77777777" w:rsidR="00D164AA" w:rsidRDefault="00D164AA">
      <w:pPr>
        <w:rPr>
          <w:b/>
        </w:rPr>
      </w:pPr>
    </w:p>
    <w:p w14:paraId="1E60FD0A" w14:textId="5C484CD2" w:rsidR="00033265" w:rsidRDefault="00740EB8">
      <w:pPr>
        <w:rPr>
          <w:b/>
        </w:rPr>
      </w:pPr>
      <w:r>
        <w:rPr>
          <w:b/>
        </w:rPr>
        <w:t>Kitaplar</w:t>
      </w:r>
    </w:p>
    <w:p w14:paraId="09D83211" w14:textId="77777777" w:rsidR="00033265" w:rsidRDefault="00740EB8">
      <w:r>
        <w:t xml:space="preserve">Yazar, A. (Yıl). </w:t>
      </w:r>
      <w:r>
        <w:rPr>
          <w:i/>
        </w:rPr>
        <w:t xml:space="preserve">Kitabın başlığı </w:t>
      </w:r>
      <w:r>
        <w:t>(7th ed.). Yayınevi, DOI ya da URL</w:t>
      </w:r>
    </w:p>
    <w:p w14:paraId="460569F4" w14:textId="77777777" w:rsidR="00033265" w:rsidRDefault="00740EB8" w:rsidP="00BC5369">
      <w:pPr>
        <w:shd w:val="clear" w:color="auto" w:fill="FFFFFF"/>
        <w:ind w:left="720" w:hanging="720"/>
        <w:jc w:val="both"/>
      </w:pPr>
      <w:r>
        <w:t xml:space="preserve">Ewert, E.W., Mitten, D.S., &amp; Overholt, J.R. (2014). </w:t>
      </w:r>
      <w:r>
        <w:rPr>
          <w:i/>
        </w:rPr>
        <w:t>Natural environments and human health</w:t>
      </w:r>
      <w:r>
        <w:t xml:space="preserve">. CAB International. </w:t>
      </w:r>
      <w:hyperlink r:id="rId13">
        <w:r>
          <w:rPr>
            <w:u w:val="single"/>
          </w:rPr>
          <w:t>https://doi.org/10.1079/9781845939199.0000</w:t>
        </w:r>
      </w:hyperlink>
    </w:p>
    <w:p w14:paraId="58BE7CD2" w14:textId="77777777" w:rsidR="00033265" w:rsidRDefault="00740EB8" w:rsidP="00BC5369">
      <w:pPr>
        <w:shd w:val="clear" w:color="auto" w:fill="FFFFFF"/>
        <w:ind w:left="720" w:hanging="720"/>
        <w:jc w:val="both"/>
      </w:pPr>
      <w:r>
        <w:t xml:space="preserve">Potter, J., &amp; Wetherell, M. (1987). </w:t>
      </w:r>
      <w:r>
        <w:rPr>
          <w:i/>
        </w:rPr>
        <w:t>Discourse and social psychology: Beyond attitudes and behavior.</w:t>
      </w:r>
      <w:r>
        <w:t xml:space="preserve"> Sage.</w:t>
      </w:r>
    </w:p>
    <w:p w14:paraId="1EC7738F" w14:textId="77777777" w:rsidR="00033265" w:rsidRDefault="00740EB8" w:rsidP="00BC5369">
      <w:pPr>
        <w:shd w:val="clear" w:color="auto" w:fill="FFFFFF"/>
        <w:ind w:left="720" w:hanging="720"/>
        <w:jc w:val="both"/>
      </w:pPr>
      <w:r>
        <w:t xml:space="preserve">Foxall, G. R. (2018). </w:t>
      </w:r>
      <w:r>
        <w:rPr>
          <w:i/>
        </w:rPr>
        <w:t>Context and cognition in consumer psychology:</w:t>
      </w:r>
      <w:r>
        <w:t xml:space="preserve"> </w:t>
      </w:r>
      <w:r>
        <w:rPr>
          <w:i/>
        </w:rPr>
        <w:t>How   perception and emotion guide action</w:t>
      </w:r>
      <w:r>
        <w:t>. Routledge.</w:t>
      </w:r>
    </w:p>
    <w:p w14:paraId="64A904AC" w14:textId="77777777" w:rsidR="00033265" w:rsidRDefault="00740EB8" w:rsidP="00BC5369">
      <w:pPr>
        <w:shd w:val="clear" w:color="auto" w:fill="FFFFFF"/>
        <w:ind w:left="720" w:hanging="720"/>
        <w:jc w:val="both"/>
      </w:pPr>
      <w:r>
        <w:t xml:space="preserve">Schmidt, N. A., &amp; Brown, J. M. (2017). </w:t>
      </w:r>
      <w:r>
        <w:rPr>
          <w:i/>
        </w:rPr>
        <w:t>Evidence-Based Practice for Nurses: Appraisal and Application of Research</w:t>
      </w:r>
      <w:r>
        <w:t xml:space="preserve"> (4th ed.). Jones &amp; Bartlett Learning, LLC.</w:t>
      </w:r>
    </w:p>
    <w:p w14:paraId="0C4EA430" w14:textId="77777777" w:rsidR="00EA6EA4" w:rsidRDefault="00EA6EA4" w:rsidP="00EA6EA4">
      <w:pPr>
        <w:shd w:val="clear" w:color="auto" w:fill="FFFFFF"/>
        <w:jc w:val="both"/>
        <w:rPr>
          <w:b/>
        </w:rPr>
      </w:pPr>
    </w:p>
    <w:p w14:paraId="43251E84" w14:textId="119B4264" w:rsidR="00033265" w:rsidRDefault="00740EB8" w:rsidP="00EA6EA4">
      <w:pPr>
        <w:shd w:val="clear" w:color="auto" w:fill="FFFFFF"/>
        <w:jc w:val="both"/>
      </w:pPr>
      <w:r>
        <w:rPr>
          <w:b/>
        </w:rPr>
        <w:t>Kitap Bölümü:</w:t>
      </w:r>
      <w:r>
        <w:t xml:space="preserve"> Yazar, A. (Yıl). Yayın adı. In A. Editör Soyadı &amp; A. Editör Soyadı (Eds.), </w:t>
      </w:r>
      <w:r>
        <w:rPr>
          <w:i/>
        </w:rPr>
        <w:t xml:space="preserve">Yayınlandığı kitap adı </w:t>
      </w:r>
      <w:r>
        <w:t>(2nd ed., pp. #-#), Yayınevi. DOI ya da URL</w:t>
      </w:r>
    </w:p>
    <w:p w14:paraId="4C480A2C" w14:textId="77777777" w:rsidR="00033265" w:rsidRDefault="00740EB8" w:rsidP="00BC5369">
      <w:pPr>
        <w:shd w:val="clear" w:color="auto" w:fill="FFFFFF"/>
        <w:ind w:left="720" w:hanging="720"/>
        <w:jc w:val="both"/>
      </w:pPr>
      <w:r>
        <w:t xml:space="preserve">Aron, L., Botella, M., &amp; Lubart, T. (2019). Culinary arts: Talent and their development. In R. F. Subotnik, P. Olszewski-Kubilius, &amp; F. C. Worrell (Eds.), </w:t>
      </w:r>
      <w:r w:rsidRPr="00BC5369">
        <w:t>The psychology of high performance: Developing human potential into domain-specific talent</w:t>
      </w:r>
      <w:r>
        <w:t xml:space="preserve"> (pp. 345–359). American Psychological Association. </w:t>
      </w:r>
      <w:hyperlink r:id="rId14">
        <w:r w:rsidRPr="00BC5369">
          <w:rPr>
            <w:u w:val="single"/>
          </w:rPr>
          <w:t>https://doi.org/10.1037/0000120-016</w:t>
        </w:r>
      </w:hyperlink>
    </w:p>
    <w:p w14:paraId="02BB14CE" w14:textId="77777777" w:rsidR="00033265" w:rsidRDefault="00033265">
      <w:pPr>
        <w:shd w:val="clear" w:color="auto" w:fill="FFFFFF"/>
        <w:jc w:val="both"/>
      </w:pPr>
    </w:p>
    <w:p w14:paraId="5E19CCA5" w14:textId="77777777" w:rsidR="00033265" w:rsidRDefault="00740EB8">
      <w:pPr>
        <w:rPr>
          <w:b/>
        </w:rPr>
      </w:pPr>
      <w:r>
        <w:rPr>
          <w:b/>
        </w:rPr>
        <w:t>Dergiler</w:t>
      </w:r>
    </w:p>
    <w:p w14:paraId="1ECCBD6C" w14:textId="77777777" w:rsidR="00033265" w:rsidRDefault="00740EB8">
      <w:r>
        <w:t xml:space="preserve">Yazar, A. A., Yazar, B. (Yıl). Makale başlığı. </w:t>
      </w:r>
      <w:r>
        <w:rPr>
          <w:i/>
        </w:rPr>
        <w:t>Derginin Başlığı, cilt</w:t>
      </w:r>
      <w:r>
        <w:t>(sayı), #–#. DOI</w:t>
      </w:r>
    </w:p>
    <w:p w14:paraId="2F8B9CCC" w14:textId="77777777" w:rsidR="00033265" w:rsidRDefault="00740EB8">
      <w:r>
        <w:rPr>
          <w:b/>
        </w:rPr>
        <w:t>Makale numaralı dergi:</w:t>
      </w:r>
      <w:r>
        <w:t xml:space="preserve"> Yazar, A. A., Yazar, B. (Yıl). Makale başlığı. </w:t>
      </w:r>
      <w:r>
        <w:rPr>
          <w:i/>
        </w:rPr>
        <w:t>Dergi Başlığı, cilt</w:t>
      </w:r>
      <w:r>
        <w:t>(sayı), makale numarası, #–#. DOI</w:t>
      </w:r>
    </w:p>
    <w:p w14:paraId="1A0AF94E" w14:textId="77777777" w:rsidR="00033265" w:rsidRDefault="00740EB8">
      <w:r>
        <w:rPr>
          <w:b/>
        </w:rPr>
        <w:t xml:space="preserve">Arxiv numaralı dergi: </w:t>
      </w:r>
      <w:r>
        <w:t>Yazar, A. A., Yazar, B. (Yıl). Makale başlığı. Arxiv numarası</w:t>
      </w:r>
    </w:p>
    <w:p w14:paraId="320AEBD8" w14:textId="77777777" w:rsidR="00033265" w:rsidRDefault="00740EB8" w:rsidP="00BC5369">
      <w:pPr>
        <w:shd w:val="clear" w:color="auto" w:fill="FFFFFF"/>
        <w:ind w:left="720" w:hanging="720"/>
        <w:jc w:val="both"/>
      </w:pPr>
      <w:r>
        <w:t xml:space="preserve">Ashing‐Giwa, K. T., Padilla, G., Tejero, J., Kraemer, J., Wright, K., Coscarelli, A., Clayton, S., Williams, I., &amp; Hills, D. (2004). Understanding the breast cancer experience of women: A qualitative study of African American, Asian American, Latina and Caucasian cancer survivors. </w:t>
      </w:r>
      <w:r w:rsidRPr="00BC5369">
        <w:t>Psycho‐Oncology, 13</w:t>
      </w:r>
      <w:r>
        <w:t xml:space="preserve">(6), 408-428. </w:t>
      </w:r>
      <w:hyperlink r:id="rId15">
        <w:r w:rsidRPr="00BC5369">
          <w:rPr>
            <w:u w:val="single"/>
          </w:rPr>
          <w:t>https://doi.org/10.1002/pon.750</w:t>
        </w:r>
      </w:hyperlink>
      <w:r w:rsidRPr="00BC5369">
        <w:rPr>
          <w:u w:val="single"/>
        </w:rPr>
        <w:t xml:space="preserve"> </w:t>
      </w:r>
    </w:p>
    <w:p w14:paraId="68069462" w14:textId="77777777" w:rsidR="00033265" w:rsidRDefault="00740EB8" w:rsidP="00BC5369">
      <w:pPr>
        <w:shd w:val="clear" w:color="auto" w:fill="FFFFFF"/>
        <w:ind w:left="720" w:hanging="720"/>
        <w:jc w:val="both"/>
      </w:pPr>
      <w:r>
        <w:t xml:space="preserve">Washington, E. T. (2014). An overview of cyberbully in higher education. </w:t>
      </w:r>
      <w:r w:rsidRPr="00BC5369">
        <w:t>Adult Learning, 26</w:t>
      </w:r>
      <w:r>
        <w:t xml:space="preserve">(1), 21–27. </w:t>
      </w:r>
      <w:hyperlink r:id="rId16">
        <w:r w:rsidRPr="00BC5369">
          <w:rPr>
            <w:u w:val="single"/>
          </w:rPr>
          <w:t>https://doi.org/10.1177/1045159514558412</w:t>
        </w:r>
      </w:hyperlink>
      <w:r w:rsidRPr="00BC5369">
        <w:rPr>
          <w:u w:val="single"/>
        </w:rPr>
        <w:t xml:space="preserve"> </w:t>
      </w:r>
    </w:p>
    <w:p w14:paraId="5F77686A" w14:textId="77777777" w:rsidR="00033265" w:rsidRDefault="00740EB8" w:rsidP="00BC5369">
      <w:pPr>
        <w:shd w:val="clear" w:color="auto" w:fill="FFFFFF"/>
        <w:ind w:left="720" w:hanging="720"/>
        <w:jc w:val="both"/>
      </w:pPr>
      <w:r>
        <w:t xml:space="preserve">Moody, M. S. (2019). If Instructional Coaching Really Works, Why Isn't It Working? </w:t>
      </w:r>
      <w:r w:rsidRPr="00BC5369">
        <w:t>Educational Leadership, 77</w:t>
      </w:r>
      <w:r>
        <w:t>(3), 30–35.</w:t>
      </w:r>
    </w:p>
    <w:p w14:paraId="02ED8B2B" w14:textId="77777777" w:rsidR="00033265" w:rsidRDefault="00740EB8" w:rsidP="00BC5369">
      <w:pPr>
        <w:shd w:val="clear" w:color="auto" w:fill="FFFFFF"/>
        <w:ind w:left="720" w:hanging="720"/>
        <w:jc w:val="both"/>
      </w:pPr>
      <w:r>
        <w:t xml:space="preserve">Dayton, K. J. (2019). Tangled arms: Modernizing and unifying the arm-of-the-state doctrine. </w:t>
      </w:r>
      <w:r w:rsidRPr="00BC5369">
        <w:t>The University of Chicago Law Review, 86</w:t>
      </w:r>
      <w:r>
        <w:t>(6), 1497–1737.</w:t>
      </w:r>
      <w:r w:rsidRPr="00BC5369">
        <w:t xml:space="preserve"> </w:t>
      </w:r>
      <w:hyperlink r:id="rId17">
        <w:r w:rsidRPr="00BC5369">
          <w:rPr>
            <w:u w:val="single"/>
          </w:rPr>
          <w:t>https://bit.ly/2SkWwcy</w:t>
        </w:r>
      </w:hyperlink>
      <w:r>
        <w:t xml:space="preserve"> </w:t>
      </w:r>
    </w:p>
    <w:p w14:paraId="6E00B03C" w14:textId="77777777" w:rsidR="00033265" w:rsidRDefault="00740EB8" w:rsidP="00BC5369">
      <w:pPr>
        <w:shd w:val="clear" w:color="auto" w:fill="FFFFFF"/>
        <w:ind w:left="720" w:hanging="720"/>
        <w:jc w:val="both"/>
      </w:pPr>
      <w:r>
        <w:t xml:space="preserve">Goertzel, B. (2020). Grounding Occam's Razor in a Formal Theory of Simplicity. </w:t>
      </w:r>
      <w:hyperlink r:id="rId18">
        <w:r w:rsidRPr="00BC5369">
          <w:t>https://arxiv.org/abs/2004.05269v2</w:t>
        </w:r>
      </w:hyperlink>
    </w:p>
    <w:p w14:paraId="2B75CFCF" w14:textId="77777777" w:rsidR="00033265" w:rsidRDefault="00740EB8" w:rsidP="00BC5369">
      <w:pPr>
        <w:shd w:val="clear" w:color="auto" w:fill="FFFFFF"/>
        <w:ind w:left="720" w:hanging="720"/>
        <w:jc w:val="both"/>
      </w:pPr>
      <w:r>
        <w:t xml:space="preserve">Jerrentrup, A., Mueller, T., Glowalla, U., Herder, M., Henrichs, N., Neubauer, A., &amp; Schaefer, J. R. (2018). Teaching medicine with the help of “Dr. House.” </w:t>
      </w:r>
      <w:r w:rsidRPr="00BC5369">
        <w:t>PLoS ONE, 13</w:t>
      </w:r>
      <w:r>
        <w:t xml:space="preserve">(3), Article e0193972. </w:t>
      </w:r>
      <w:r w:rsidRPr="00BC5369">
        <w:rPr>
          <w:u w:val="single"/>
        </w:rPr>
        <w:t>https://doi.org/10.1371/journal.pone.0193972</w:t>
      </w:r>
    </w:p>
    <w:p w14:paraId="61B1F2DE" w14:textId="77777777" w:rsidR="00033265" w:rsidRDefault="00033265">
      <w:pPr>
        <w:rPr>
          <w:b/>
        </w:rPr>
      </w:pPr>
    </w:p>
    <w:p w14:paraId="77000635" w14:textId="77777777" w:rsidR="00033265" w:rsidRDefault="00740EB8">
      <w:r>
        <w:rPr>
          <w:b/>
        </w:rPr>
        <w:t>Konferans ve poster sunumları:</w:t>
      </w:r>
      <w:r>
        <w:t xml:space="preserve"> Yazar, A. A., Yazar, B. (Yıl, Konferans Tarihleri). </w:t>
      </w:r>
      <w:r>
        <w:rPr>
          <w:i/>
        </w:rPr>
        <w:t xml:space="preserve">Bildiri başlığı </w:t>
      </w:r>
      <w:r>
        <w:t>[Sunum şekli (konferans sunumu, poster sunumu)], Konferans adı, Yapıldığı Şehir.</w:t>
      </w:r>
    </w:p>
    <w:p w14:paraId="2D06476B" w14:textId="77777777" w:rsidR="00EA6EA4" w:rsidRDefault="00EA6EA4">
      <w:pPr>
        <w:rPr>
          <w:b/>
        </w:rPr>
      </w:pPr>
    </w:p>
    <w:p w14:paraId="56FB1172" w14:textId="6E7F8460" w:rsidR="00033265" w:rsidRDefault="00740EB8">
      <w:r>
        <w:rPr>
          <w:b/>
        </w:rPr>
        <w:t xml:space="preserve">Konferans bildirileri: </w:t>
      </w:r>
      <w:r>
        <w:t xml:space="preserve">Yazar, A. A., Yazar, B. (Yıl). Bildiri başlığı. Editör(ler), </w:t>
      </w:r>
      <w:r>
        <w:rPr>
          <w:i/>
        </w:rPr>
        <w:t>Yayın adı (Konferans adı) (</w:t>
      </w:r>
      <w:r>
        <w:t>pp. xx-xx). Yayınevi. DOI ya da URL</w:t>
      </w:r>
    </w:p>
    <w:p w14:paraId="3E8A9F5A" w14:textId="77777777" w:rsidR="00033265" w:rsidRDefault="00740EB8" w:rsidP="00BC5369">
      <w:pPr>
        <w:shd w:val="clear" w:color="auto" w:fill="FFFFFF"/>
        <w:ind w:left="720" w:hanging="720"/>
        <w:jc w:val="both"/>
      </w:pPr>
      <w:r>
        <w:t xml:space="preserve">Mason, I. &amp; Missingham, R. (2019, October 21–25). </w:t>
      </w:r>
      <w:r w:rsidRPr="00BC5369">
        <w:t>Research libraries, data curation, and workflows</w:t>
      </w:r>
      <w:r>
        <w:t xml:space="preserve"> [Paper presentation]. eResearch Australasia Conference, Brisbane, QLD, Australia. </w:t>
      </w:r>
      <w:hyperlink r:id="rId19">
        <w:r w:rsidRPr="00BC5369">
          <w:rPr>
            <w:u w:val="single"/>
          </w:rPr>
          <w:t>https://bit.ly/2RGcFdn</w:t>
        </w:r>
      </w:hyperlink>
      <w:r w:rsidRPr="00BC5369">
        <w:rPr>
          <w:u w:val="single"/>
        </w:rPr>
        <w:t xml:space="preserve"> </w:t>
      </w:r>
    </w:p>
    <w:p w14:paraId="67101171" w14:textId="77777777" w:rsidR="00033265" w:rsidRDefault="00740EB8" w:rsidP="00BC5369">
      <w:pPr>
        <w:shd w:val="clear" w:color="auto" w:fill="FFFFFF"/>
        <w:ind w:left="720" w:hanging="720"/>
        <w:jc w:val="both"/>
      </w:pPr>
      <w:r>
        <w:lastRenderedPageBreak/>
        <w:t xml:space="preserve">Cacioppo, S. (2019, April 25–28). </w:t>
      </w:r>
      <w:r w:rsidRPr="00BC5369">
        <w:t>Evolutionary theory of social connections: Past, present, and future</w:t>
      </w:r>
      <w:r>
        <w:t xml:space="preserve"> [Conference presentation abstract]. Ninety-ninth annual convention of the Western Psychological Association, Pasadena, CA, United States. </w:t>
      </w:r>
      <w:hyperlink r:id="rId20">
        <w:r w:rsidRPr="00BC5369">
          <w:rPr>
            <w:u w:val="single"/>
          </w:rPr>
          <w:t>https://westernpsych.org/wp-content/uploads/2019/04/WPA-Program-2019-Final-2.pdf</w:t>
        </w:r>
      </w:hyperlink>
      <w:r w:rsidRPr="00BC5369">
        <w:rPr>
          <w:u w:val="single"/>
        </w:rPr>
        <w:t xml:space="preserve"> </w:t>
      </w:r>
    </w:p>
    <w:p w14:paraId="6E79FC68" w14:textId="77777777" w:rsidR="00033265" w:rsidRDefault="00740EB8" w:rsidP="00BC5369">
      <w:pPr>
        <w:shd w:val="clear" w:color="auto" w:fill="FFFFFF"/>
        <w:ind w:left="720" w:hanging="720"/>
        <w:jc w:val="both"/>
      </w:pPr>
      <w:r>
        <w:t xml:space="preserve">Bedenel, A.-L., Jourdan, L., &amp; Biernacki, C. (2019). Probability estimation by an adapted genetic algorithm in web insurance. In R. Battiti, M. Brunato, I. Kotsireas, &amp; P. Pardalos (Eds.), </w:t>
      </w:r>
      <w:r w:rsidRPr="00BC5369">
        <w:t>Lecture notes in computer science: Vol. 11353. Learning and intelligent optimization</w:t>
      </w:r>
      <w:r>
        <w:t xml:space="preserve"> (pp. 225–240). Springer. </w:t>
      </w:r>
      <w:hyperlink r:id="rId21">
        <w:r w:rsidRPr="00BC5369">
          <w:rPr>
            <w:u w:val="single"/>
          </w:rPr>
          <w:t>https://doi.org/10.1007/978-3-030-05348-2_21</w:t>
        </w:r>
      </w:hyperlink>
      <w:r w:rsidRPr="00BC5369">
        <w:rPr>
          <w:u w:val="single"/>
        </w:rPr>
        <w:t xml:space="preserve"> </w:t>
      </w:r>
    </w:p>
    <w:p w14:paraId="58D5123F" w14:textId="77777777" w:rsidR="00033265" w:rsidRPr="00BC5369" w:rsidRDefault="00740EB8" w:rsidP="00BC5369">
      <w:pPr>
        <w:shd w:val="clear" w:color="auto" w:fill="FFFFFF"/>
        <w:ind w:left="720" w:hanging="720"/>
        <w:jc w:val="both"/>
      </w:pPr>
      <w:r>
        <w:t xml:space="preserve">Morgan, R., Meldrum, K., Bryan, S., Mathiesen, B., Yakob, N., Esa, N., &amp; Ziden, A. A. (2017). Embedding digital literacies in curricula: Australian and Malaysian experiences. In G. B. Teh &amp; S. C. Choy (Eds.), </w:t>
      </w:r>
      <w:r w:rsidRPr="00BC5369">
        <w:t>Empowering 21st century learners through holistic and enterprising learning: Selected papers from Tunku Abdul Rahman University College International Conference 2016</w:t>
      </w:r>
      <w:r>
        <w:t xml:space="preserve"> (pp. 11-19). Springer. </w:t>
      </w:r>
      <w:hyperlink r:id="rId22">
        <w:r w:rsidRPr="00BC5369">
          <w:rPr>
            <w:u w:val="single"/>
          </w:rPr>
          <w:t>https://doi.org/10.1007/978-981-10-4241-6_2</w:t>
        </w:r>
      </w:hyperlink>
      <w:r w:rsidRPr="00BC5369">
        <w:rPr>
          <w:u w:val="single"/>
        </w:rPr>
        <w:t xml:space="preserve"> </w:t>
      </w:r>
    </w:p>
    <w:p w14:paraId="0129ED75" w14:textId="77777777" w:rsidR="00033265" w:rsidRDefault="00033265">
      <w:pPr>
        <w:rPr>
          <w:b/>
        </w:rPr>
      </w:pPr>
    </w:p>
    <w:p w14:paraId="214464D6" w14:textId="77777777" w:rsidR="00033265" w:rsidRDefault="00740EB8">
      <w:r>
        <w:rPr>
          <w:b/>
        </w:rPr>
        <w:t>Yayınlanmış Tez:</w:t>
      </w:r>
      <w:r>
        <w:t xml:space="preserve"> Yazar, A. (Yıl). </w:t>
      </w:r>
      <w:r>
        <w:rPr>
          <w:i/>
        </w:rPr>
        <w:t xml:space="preserve">Tez adı. </w:t>
      </w:r>
      <w:r>
        <w:t>(Tez Künye Numarası) [Doctoral dissertation / Master’s thesis, Üniversite Adı]. Veritabanı Adı.</w:t>
      </w:r>
    </w:p>
    <w:p w14:paraId="57DD219C" w14:textId="77777777" w:rsidR="00033265" w:rsidRDefault="00740EB8" w:rsidP="003373F4">
      <w:pPr>
        <w:shd w:val="clear" w:color="auto" w:fill="FFFFFF"/>
        <w:ind w:left="720" w:hanging="720"/>
        <w:jc w:val="both"/>
      </w:pPr>
      <w:bookmarkStart w:id="1" w:name="_heading=h.gjdgxs" w:colFirst="0" w:colLast="0"/>
      <w:bookmarkEnd w:id="1"/>
      <w:r>
        <w:t xml:space="preserve">Valentin, E. R. (2019, Summer). Narcissism predicted by Snapchat selfie sharing, filter usage, and editing [Master's thesis, California State University Dominguez Hills]. CSU ScholarWorks. </w:t>
      </w:r>
      <w:hyperlink r:id="rId23">
        <w:r w:rsidRPr="003373F4">
          <w:rPr>
            <w:u w:val="single"/>
          </w:rPr>
          <w:t>https://scholarworks.calstate.edu/concern/theses/3197xm925?locale=en</w:t>
        </w:r>
      </w:hyperlink>
      <w:r w:rsidRPr="003373F4">
        <w:rPr>
          <w:u w:val="single"/>
        </w:rPr>
        <w:t xml:space="preserve"> </w:t>
      </w:r>
    </w:p>
    <w:p w14:paraId="595F3C88" w14:textId="77777777" w:rsidR="00033265" w:rsidRDefault="00740EB8" w:rsidP="003373F4">
      <w:pPr>
        <w:shd w:val="clear" w:color="auto" w:fill="FFFFFF"/>
        <w:ind w:left="720" w:hanging="720"/>
        <w:jc w:val="both"/>
      </w:pPr>
      <w:r>
        <w:t xml:space="preserve">Lope, M. D. (2014). </w:t>
      </w:r>
      <w:r w:rsidRPr="003373F4">
        <w:t>Perceptions of global mindedness in the international baccalaureate middle years program: The relationship to student academic performance and teacher characteristics</w:t>
      </w:r>
      <w:r>
        <w:t xml:space="preserve"> (Order No. 3682837) [Doctoral dissertation, University of Maryland]. ProQuest Dissertations and Theses Global. </w:t>
      </w:r>
    </w:p>
    <w:p w14:paraId="3EDE3AB8" w14:textId="77777777" w:rsidR="00EA6EA4" w:rsidRDefault="00EA6EA4" w:rsidP="00EA6EA4">
      <w:pPr>
        <w:shd w:val="clear" w:color="auto" w:fill="FFFFFF"/>
        <w:jc w:val="both"/>
        <w:rPr>
          <w:b/>
        </w:rPr>
      </w:pPr>
    </w:p>
    <w:p w14:paraId="35A20599" w14:textId="0A141109" w:rsidR="00033265" w:rsidRDefault="00740EB8" w:rsidP="00EA6EA4">
      <w:pPr>
        <w:shd w:val="clear" w:color="auto" w:fill="FFFFFF"/>
        <w:jc w:val="both"/>
      </w:pPr>
      <w:r>
        <w:rPr>
          <w:b/>
        </w:rPr>
        <w:t>Yayınlanmamış Tez:</w:t>
      </w:r>
      <w:r>
        <w:t xml:space="preserve"> Yazar, A. (Yıl). </w:t>
      </w:r>
      <w:r>
        <w:rPr>
          <w:i/>
        </w:rPr>
        <w:t>Tez adı.</w:t>
      </w:r>
      <w:r>
        <w:t xml:space="preserve"> [Unpublished Doctoral dissertation / Master’s Thesis]. Üniversite Adı.</w:t>
      </w:r>
    </w:p>
    <w:p w14:paraId="23BD9068" w14:textId="77777777" w:rsidR="00033265" w:rsidRDefault="00740EB8">
      <w:pPr>
        <w:shd w:val="clear" w:color="auto" w:fill="FFFFFF"/>
        <w:ind w:left="720"/>
        <w:jc w:val="both"/>
      </w:pPr>
      <w:r>
        <w:t xml:space="preserve">Harris, L. (2014). </w:t>
      </w:r>
      <w:r>
        <w:rPr>
          <w:i/>
        </w:rPr>
        <w:t>Instructional leadership perceptions and practices of elementary school leaders</w:t>
      </w:r>
      <w:r>
        <w:t xml:space="preserve"> [Unpublished doctoral dissertation]. University of Virginia.</w:t>
      </w:r>
    </w:p>
    <w:p w14:paraId="3A59A6BF" w14:textId="77777777" w:rsidR="00033265" w:rsidRDefault="00033265">
      <w:pPr>
        <w:rPr>
          <w:b/>
        </w:rPr>
      </w:pPr>
    </w:p>
    <w:p w14:paraId="1C5EB35F" w14:textId="77777777" w:rsidR="00033265" w:rsidRDefault="00740EB8">
      <w:pPr>
        <w:rPr>
          <w:b/>
        </w:rPr>
      </w:pPr>
      <w:r>
        <w:rPr>
          <w:b/>
        </w:rPr>
        <w:t>Rapor</w:t>
      </w:r>
    </w:p>
    <w:p w14:paraId="78141003" w14:textId="77777777" w:rsidR="00033265" w:rsidRDefault="00740EB8">
      <w:r>
        <w:rPr>
          <w:b/>
        </w:rPr>
        <w:t>Grup Yazarı:</w:t>
      </w:r>
      <w:r>
        <w:t xml:space="preserve"> Kurum Adı (Yıl). </w:t>
      </w:r>
      <w:r>
        <w:rPr>
          <w:i/>
        </w:rPr>
        <w:t>Rapor adı.</w:t>
      </w:r>
      <w:r>
        <w:t xml:space="preserve"> (Rapor No. 123). URL</w:t>
      </w:r>
    </w:p>
    <w:p w14:paraId="34B72E63" w14:textId="77777777" w:rsidR="00033265" w:rsidRDefault="00740EB8" w:rsidP="00EA6EA4">
      <w:r>
        <w:rPr>
          <w:b/>
        </w:rPr>
        <w:t>Bireysel Yazar:</w:t>
      </w:r>
      <w:r>
        <w:t xml:space="preserve"> Yazar, A. A. (Yıl). </w:t>
      </w:r>
      <w:r>
        <w:rPr>
          <w:i/>
        </w:rPr>
        <w:t>Rapor adı.</w:t>
      </w:r>
      <w:r>
        <w:t xml:space="preserve"> (Rapor No. 123). Kurum Adı. URL</w:t>
      </w:r>
    </w:p>
    <w:p w14:paraId="727B69FF" w14:textId="77777777" w:rsidR="00033265" w:rsidRDefault="00740EB8" w:rsidP="003373F4">
      <w:pPr>
        <w:shd w:val="clear" w:color="auto" w:fill="FFFFFF"/>
        <w:ind w:left="720" w:hanging="720"/>
        <w:jc w:val="both"/>
      </w:pPr>
      <w:r>
        <w:t xml:space="preserve">World Health Organization. (2014). </w:t>
      </w:r>
      <w:r w:rsidRPr="003373F4">
        <w:t>Comprehensive implementation plan on maternal, infant and young child nutrition.</w:t>
      </w:r>
      <w:r>
        <w:t xml:space="preserve"> </w:t>
      </w:r>
      <w:hyperlink r:id="rId24">
        <w:r w:rsidRPr="003373F4">
          <w:rPr>
            <w:u w:val="single"/>
          </w:rPr>
          <w:t>https://apps.who.int/iris/bitstream/handle/10665/113048/WHO_NMH_NHD_14.1_eng.pdf?ua=1</w:t>
        </w:r>
      </w:hyperlink>
      <w:r w:rsidRPr="003373F4">
        <w:rPr>
          <w:u w:val="single"/>
        </w:rPr>
        <w:t xml:space="preserve"> </w:t>
      </w:r>
    </w:p>
    <w:p w14:paraId="039E5A45" w14:textId="77777777" w:rsidR="00033265" w:rsidRPr="003373F4" w:rsidRDefault="00740EB8" w:rsidP="003373F4">
      <w:pPr>
        <w:shd w:val="clear" w:color="auto" w:fill="FFFFFF"/>
        <w:ind w:left="720" w:hanging="720"/>
        <w:jc w:val="both"/>
        <w:rPr>
          <w:u w:val="single"/>
        </w:rPr>
      </w:pPr>
      <w:r>
        <w:t xml:space="preserve">Winthrop, R., Ziegler, L., Handa, R., &amp; Fakoya, F. (2019). </w:t>
      </w:r>
      <w:r w:rsidRPr="003373F4">
        <w:t>How playful learning can help leapfrog progress in education. Center for Universal Education at Brookings.</w:t>
      </w:r>
      <w:r>
        <w:t xml:space="preserve"> </w:t>
      </w:r>
      <w:hyperlink r:id="rId25">
        <w:r w:rsidRPr="003373F4">
          <w:rPr>
            <w:u w:val="single"/>
          </w:rPr>
          <w:t>https://www.brookings.edu/wp-content/uploads/2019/04/how_playful_learning_can_help_leapfrog_progress_in_education.pdf</w:t>
        </w:r>
      </w:hyperlink>
      <w:r w:rsidRPr="003373F4">
        <w:rPr>
          <w:u w:val="single"/>
        </w:rPr>
        <w:t xml:space="preserve"> </w:t>
      </w:r>
    </w:p>
    <w:p w14:paraId="6CF9BBA4" w14:textId="77777777" w:rsidR="00033265" w:rsidRDefault="00740EB8">
      <w:pPr>
        <w:rPr>
          <w:b/>
        </w:rPr>
      </w:pPr>
      <w:r>
        <w:rPr>
          <w:b/>
        </w:rPr>
        <w:t>Çevrimiçi kaynaklar</w:t>
      </w:r>
    </w:p>
    <w:p w14:paraId="43A073B8" w14:textId="77777777" w:rsidR="00033265" w:rsidRDefault="00740EB8" w:rsidP="003373F4">
      <w:pPr>
        <w:shd w:val="clear" w:color="auto" w:fill="FFFFFF"/>
      </w:pPr>
      <w:r>
        <w:rPr>
          <w:b/>
        </w:rPr>
        <w:t>Web Sayfası:</w:t>
      </w:r>
      <w:r>
        <w:t> Yazar, A. / Kurum Adı (Yıl, Ay Gün). </w:t>
      </w:r>
      <w:r>
        <w:rPr>
          <w:i/>
        </w:rPr>
        <w:t>İçerik adı.</w:t>
      </w:r>
      <w:r>
        <w:t> Web Sayfasının Adı. Retrieved Ay Gün, Yıl, from URL</w:t>
      </w:r>
    </w:p>
    <w:p w14:paraId="7D843E78" w14:textId="77777777" w:rsidR="00033265" w:rsidRDefault="00740EB8" w:rsidP="003373F4">
      <w:pPr>
        <w:shd w:val="clear" w:color="auto" w:fill="FFFFFF"/>
        <w:ind w:left="720" w:hanging="720"/>
        <w:jc w:val="both"/>
      </w:pPr>
      <w:r>
        <w:t>Center for Systems Science and Engineering. (2020, May 6). C</w:t>
      </w:r>
      <w:r w:rsidRPr="003373F4">
        <w:t>OVID-19 dashboard by the Center for Systems Science and Engineering (CSSE) at Johns Hopkins University (JHU).</w:t>
      </w:r>
      <w:r>
        <w:t xml:space="preserve"> Johns Hopkins University &amp; Medicine, Coronavirus Resource Center. Retrieved May 6, 2020, from </w:t>
      </w:r>
      <w:hyperlink r:id="rId26">
        <w:r w:rsidRPr="003373F4">
          <w:rPr>
            <w:u w:val="single"/>
          </w:rPr>
          <w:t>https://coronavirus.jhu.edu/map.html</w:t>
        </w:r>
      </w:hyperlink>
      <w:r w:rsidRPr="003373F4">
        <w:rPr>
          <w:u w:val="single"/>
        </w:rPr>
        <w:t xml:space="preserve"> </w:t>
      </w:r>
    </w:p>
    <w:p w14:paraId="555D7F9F" w14:textId="77777777" w:rsidR="00033265" w:rsidRDefault="00740EB8" w:rsidP="003373F4">
      <w:pPr>
        <w:shd w:val="clear" w:color="auto" w:fill="FFFFFF"/>
        <w:jc w:val="both"/>
      </w:pPr>
      <w:r>
        <w:rPr>
          <w:b/>
        </w:rPr>
        <w:t>Blog:</w:t>
      </w:r>
      <w:r>
        <w:t> Yazar, A. (Yıl, Ay Gün). İçerik adı. </w:t>
      </w:r>
      <w:r>
        <w:rPr>
          <w:i/>
        </w:rPr>
        <w:t>Blog Adı.</w:t>
      </w:r>
      <w:r>
        <w:t> URL</w:t>
      </w:r>
    </w:p>
    <w:p w14:paraId="438D5000" w14:textId="77777777" w:rsidR="003373F4" w:rsidRDefault="00740EB8" w:rsidP="003373F4">
      <w:pPr>
        <w:shd w:val="clear" w:color="auto" w:fill="FFFFFF"/>
        <w:ind w:left="720" w:hanging="720"/>
        <w:jc w:val="both"/>
      </w:pPr>
      <w:r>
        <w:t>Rutledge, P. (2019, March 11). The upside of social media. </w:t>
      </w:r>
      <w:r w:rsidRPr="003373F4">
        <w:t>The Media Psychology Blog. </w:t>
      </w:r>
      <w:hyperlink r:id="rId27">
        <w:r w:rsidRPr="003373F4">
          <w:rPr>
            <w:u w:val="single"/>
          </w:rPr>
          <w:t>https://www.pamelarutledge.com/2019/03/11/the-upside-of-social-media/</w:t>
        </w:r>
      </w:hyperlink>
    </w:p>
    <w:p w14:paraId="7EF5E4AE" w14:textId="31C73D74" w:rsidR="00033265" w:rsidRDefault="00740EB8" w:rsidP="003373F4">
      <w:pPr>
        <w:shd w:val="clear" w:color="auto" w:fill="FFFFFF"/>
        <w:jc w:val="both"/>
      </w:pPr>
      <w:r>
        <w:rPr>
          <w:b/>
        </w:rPr>
        <w:t>Online Dergi:</w:t>
      </w:r>
      <w:r>
        <w:t> Yazar, A. (Yıl, Ay Gün). İçerik adı. </w:t>
      </w:r>
      <w:r>
        <w:rPr>
          <w:i/>
        </w:rPr>
        <w:t>Dergi Adı</w:t>
      </w:r>
      <w:r>
        <w:t>. URL</w:t>
      </w:r>
    </w:p>
    <w:p w14:paraId="3A52D2F5" w14:textId="77777777" w:rsidR="00033265" w:rsidRDefault="00740EB8" w:rsidP="003373F4">
      <w:pPr>
        <w:shd w:val="clear" w:color="auto" w:fill="FFFFFF"/>
        <w:ind w:left="720" w:hanging="720"/>
        <w:jc w:val="both"/>
      </w:pPr>
      <w:r>
        <w:t>Gander, K. (2020, April 29). COVID-19 vaccine being developed in Australia raises antibodies to neutralize virus in pre-clinical tests. </w:t>
      </w:r>
      <w:r w:rsidRPr="003373F4">
        <w:t>Newsweek</w:t>
      </w:r>
      <w:r>
        <w:t>. </w:t>
      </w:r>
      <w:hyperlink r:id="rId28">
        <w:r w:rsidRPr="003373F4">
          <w:rPr>
            <w:u w:val="single"/>
          </w:rPr>
          <w:t>https://www.newsweek.com/australia-covid-19-vaccine-neutralize-virus-1500849</w:t>
        </w:r>
      </w:hyperlink>
    </w:p>
    <w:p w14:paraId="1673E2A3" w14:textId="77777777" w:rsidR="00033265" w:rsidRDefault="00740EB8" w:rsidP="003373F4">
      <w:pPr>
        <w:shd w:val="clear" w:color="auto" w:fill="FFFFFF"/>
      </w:pPr>
      <w:r>
        <w:rPr>
          <w:b/>
        </w:rPr>
        <w:t>Online Gazete Yazısı:</w:t>
      </w:r>
      <w:r>
        <w:t> Yazar, A. (Yıl, Ay Gün). İçerik adı. </w:t>
      </w:r>
      <w:r>
        <w:rPr>
          <w:i/>
        </w:rPr>
        <w:t>Gazete Adı</w:t>
      </w:r>
      <w:r>
        <w:t>. URL</w:t>
      </w:r>
    </w:p>
    <w:p w14:paraId="76CA54B0" w14:textId="77777777" w:rsidR="00033265" w:rsidRDefault="00740EB8" w:rsidP="003373F4">
      <w:pPr>
        <w:shd w:val="clear" w:color="auto" w:fill="FFFFFF"/>
        <w:ind w:left="720" w:hanging="720"/>
        <w:jc w:val="both"/>
      </w:pPr>
      <w:r>
        <w:t>Roberts, S. (2020, April 9). Early string ties us to Neanderthals. </w:t>
      </w:r>
      <w:r w:rsidRPr="003373F4">
        <w:t>The New York Times.</w:t>
      </w:r>
      <w:r>
        <w:br/>
      </w:r>
      <w:r w:rsidRPr="003373F4">
        <w:rPr>
          <w:u w:val="single"/>
        </w:rPr>
        <w:t>https://www.nytimes.com/2020/04/09/science/neanderthals-fiber-string-math.html</w:t>
      </w:r>
    </w:p>
    <w:p w14:paraId="4B1FDD19" w14:textId="77777777" w:rsidR="00033265" w:rsidRDefault="00740EB8" w:rsidP="003373F4">
      <w:pPr>
        <w:shd w:val="clear" w:color="auto" w:fill="FFFFFF"/>
      </w:pPr>
      <w:r>
        <w:rPr>
          <w:b/>
        </w:rPr>
        <w:t>Online Sözlük:</w:t>
      </w:r>
      <w:r>
        <w:t> Yazar, A. (Yıl, Ay Gün). İçerik adı. In </w:t>
      </w:r>
      <w:r>
        <w:rPr>
          <w:i/>
        </w:rPr>
        <w:t>Sözlük adı</w:t>
      </w:r>
      <w:r>
        <w:t>. Retrieved Ay Gün, Yıl, from URL</w:t>
      </w:r>
    </w:p>
    <w:p w14:paraId="2071D6FC" w14:textId="77777777" w:rsidR="00033265" w:rsidRDefault="00740EB8" w:rsidP="003373F4">
      <w:pPr>
        <w:shd w:val="clear" w:color="auto" w:fill="FFFFFF"/>
        <w:ind w:left="720" w:hanging="720"/>
        <w:jc w:val="both"/>
      </w:pPr>
      <w:r>
        <w:t>American Psychological Association. (n.d.). Internet addiction. In </w:t>
      </w:r>
      <w:r w:rsidRPr="003373F4">
        <w:t>APA dictionary of psychology.</w:t>
      </w:r>
      <w:r>
        <w:t> Retrieved April 24, 2020, from </w:t>
      </w:r>
      <w:hyperlink r:id="rId29">
        <w:r w:rsidRPr="003373F4">
          <w:rPr>
            <w:u w:val="single"/>
          </w:rPr>
          <w:t>https://dictionary.apa.org/internet-addiction</w:t>
        </w:r>
      </w:hyperlink>
    </w:p>
    <w:p w14:paraId="4A513F4A" w14:textId="77777777" w:rsidR="00033265" w:rsidRDefault="00740EB8" w:rsidP="003373F4">
      <w:pPr>
        <w:shd w:val="clear" w:color="auto" w:fill="FFFFFF"/>
      </w:pPr>
      <w:r>
        <w:rPr>
          <w:b/>
        </w:rPr>
        <w:t>Veritabanından Tez:</w:t>
      </w:r>
      <w:r>
        <w:t> Yazar, A. (Yıl). Tez adı. (Tez Künye Numarası) [Doctoral dissertation / Master’s Thesis, Üniversite Adı]. Veritabanı Adı.</w:t>
      </w:r>
    </w:p>
    <w:p w14:paraId="29F5C723" w14:textId="77777777" w:rsidR="00033265" w:rsidRDefault="00740EB8" w:rsidP="003373F4">
      <w:pPr>
        <w:shd w:val="clear" w:color="auto" w:fill="FFFFFF"/>
        <w:ind w:left="720" w:hanging="720"/>
        <w:jc w:val="both"/>
      </w:pPr>
      <w:r>
        <w:lastRenderedPageBreak/>
        <w:t>Horvath-Plyman, M. (2018). </w:t>
      </w:r>
      <w:r w:rsidRPr="003373F4">
        <w:t>Social media and the college student journey: An examination of how social media use impacts social capital and affects college choice, access, and transition</w:t>
      </w:r>
      <w:r>
        <w:t> (Publication No. 10937367) [Doctoral dissertation, New York University]. ProQuest Dissertations and Theses Global.</w:t>
      </w:r>
    </w:p>
    <w:p w14:paraId="54E5479B" w14:textId="77777777" w:rsidR="00033265" w:rsidRDefault="00033265" w:rsidP="00EA6EA4">
      <w:pPr>
        <w:ind w:left="720"/>
        <w:rPr>
          <w:b/>
          <w:sz w:val="32"/>
          <w:szCs w:val="32"/>
          <w:highlight w:val="white"/>
        </w:rPr>
      </w:pPr>
    </w:p>
    <w:p w14:paraId="7AF8E07E" w14:textId="77777777" w:rsidR="00033265" w:rsidRDefault="00033265"/>
    <w:sectPr w:rsidR="00033265" w:rsidSect="00272FE4">
      <w:headerReference w:type="even" r:id="rId30"/>
      <w:headerReference w:type="default" r:id="rId31"/>
      <w:footerReference w:type="even" r:id="rId32"/>
      <w:footerReference w:type="default" r:id="rId33"/>
      <w:headerReference w:type="first" r:id="rId34"/>
      <w:footerReference w:type="first" r:id="rId35"/>
      <w:pgSz w:w="11906" w:h="16838" w:code="9"/>
      <w:pgMar w:top="1418" w:right="1418" w:bottom="1418" w:left="1418"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F8DC" w14:textId="77777777" w:rsidR="00B31C94" w:rsidRDefault="00B31C94">
      <w:r>
        <w:separator/>
      </w:r>
    </w:p>
  </w:endnote>
  <w:endnote w:type="continuationSeparator" w:id="0">
    <w:p w14:paraId="7587FC4C" w14:textId="77777777" w:rsidR="00B31C94" w:rsidRDefault="00B3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28FF" w14:textId="77777777" w:rsidR="00033265" w:rsidRDefault="00740EB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21567124" w14:textId="77777777" w:rsidR="00033265" w:rsidRDefault="00033265">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2E10" w14:textId="3E2D3607" w:rsidR="00033265" w:rsidRDefault="00740EB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4B502C">
      <w:rPr>
        <w:noProof/>
        <w:color w:val="000000"/>
      </w:rPr>
      <w:t>1</w:t>
    </w:r>
    <w:r>
      <w:rPr>
        <w:color w:val="000000"/>
      </w:rPr>
      <w:fldChar w:fldCharType="end"/>
    </w:r>
  </w:p>
  <w:p w14:paraId="450B0B88" w14:textId="4029E399" w:rsidR="00033265" w:rsidRDefault="00033265">
    <w:pPr>
      <w:pBdr>
        <w:top w:val="nil"/>
        <w:left w:val="nil"/>
        <w:bottom w:val="nil"/>
        <w:right w:val="nil"/>
        <w:between w:val="nil"/>
      </w:pBdr>
      <w:tabs>
        <w:tab w:val="center" w:pos="4536"/>
        <w:tab w:val="right" w:pos="9072"/>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0510" w14:textId="77777777" w:rsidR="00033265" w:rsidRDefault="00740EB8">
    <w:pPr>
      <w:pBdr>
        <w:top w:val="nil"/>
        <w:left w:val="nil"/>
        <w:bottom w:val="nil"/>
        <w:right w:val="nil"/>
        <w:between w:val="nil"/>
      </w:pBdr>
      <w:tabs>
        <w:tab w:val="center" w:pos="4536"/>
        <w:tab w:val="right" w:pos="9072"/>
      </w:tabs>
      <w:rPr>
        <w:color w:val="000000"/>
      </w:rPr>
    </w:pPr>
    <w:r>
      <w:rPr>
        <w:b/>
        <w:color w:val="1F497D"/>
      </w:rPr>
      <w:t>MSTAS 2023</w:t>
    </w:r>
    <w:r>
      <w:rPr>
        <w:rFonts w:ascii="Verdana" w:eastAsia="Verdana" w:hAnsi="Verdana" w:cs="Verdana"/>
        <w:color w:val="000000"/>
        <w:sz w:val="18"/>
        <w:szCs w:val="18"/>
      </w:rPr>
      <w:tab/>
      <w:t xml:space="preserve">               </w:t>
    </w:r>
    <w:proofErr w:type="gramStart"/>
    <w:r>
      <w:rPr>
        <w:rFonts w:ascii="Verdana" w:eastAsia="Verdana" w:hAnsi="Verdana" w:cs="Verdana"/>
        <w:color w:val="000000"/>
        <w:sz w:val="18"/>
        <w:szCs w:val="18"/>
      </w:rPr>
      <w:t>Devinim .</w:t>
    </w:r>
    <w:proofErr w:type="gramEnd"/>
    <w:r>
      <w:rPr>
        <w:rFonts w:ascii="Verdana" w:eastAsia="Verdana" w:hAnsi="Verdana" w:cs="Verdana"/>
        <w:color w:val="000000"/>
        <w:sz w:val="18"/>
        <w:szCs w:val="18"/>
      </w:rPr>
      <w:t xml:space="preserve"> </w:t>
    </w:r>
    <w:proofErr w:type="gramStart"/>
    <w:r>
      <w:rPr>
        <w:rFonts w:ascii="Verdana" w:eastAsia="Verdana" w:hAnsi="Verdana" w:cs="Verdana"/>
        <w:color w:val="000000"/>
        <w:sz w:val="18"/>
        <w:szCs w:val="18"/>
      </w:rPr>
      <w:t>Değişim .</w:t>
    </w:r>
    <w:proofErr w:type="gramEnd"/>
    <w:r>
      <w:rPr>
        <w:rFonts w:ascii="Verdana" w:eastAsia="Verdana" w:hAnsi="Verdana" w:cs="Verdana"/>
        <w:color w:val="000000"/>
        <w:sz w:val="18"/>
        <w:szCs w:val="18"/>
      </w:rPr>
      <w:t xml:space="preserve"> Döngü</w:t>
    </w:r>
    <w:r>
      <w:rPr>
        <w:color w:val="000000"/>
      </w:rPr>
      <w:tab/>
    </w:r>
    <w:r>
      <w:rPr>
        <w:color w:val="000000"/>
      </w:rPr>
      <w:tab/>
    </w:r>
    <w:r>
      <w:rPr>
        <w:color w:val="000000"/>
      </w:rPr>
      <w:fldChar w:fldCharType="begin"/>
    </w:r>
    <w:r>
      <w:rPr>
        <w:color w:val="000000"/>
      </w:rPr>
      <w:instrText>PAGE</w:instrTex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2BF1" w14:textId="77777777" w:rsidR="00B31C94" w:rsidRDefault="00B31C94">
      <w:r>
        <w:separator/>
      </w:r>
    </w:p>
  </w:footnote>
  <w:footnote w:type="continuationSeparator" w:id="0">
    <w:p w14:paraId="73615532" w14:textId="77777777" w:rsidR="00B31C94" w:rsidRDefault="00B3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A0A2" w14:textId="77777777" w:rsidR="00033265" w:rsidRDefault="00033265">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A743" w14:textId="479A36A5" w:rsidR="00272FE4" w:rsidRPr="00272FE4" w:rsidRDefault="00272FE4" w:rsidP="00272FE4">
    <w:pPr>
      <w:pBdr>
        <w:top w:val="nil"/>
        <w:left w:val="nil"/>
        <w:bottom w:val="nil"/>
        <w:right w:val="nil"/>
        <w:between w:val="nil"/>
      </w:pBdr>
      <w:tabs>
        <w:tab w:val="center" w:pos="4536"/>
        <w:tab w:val="right" w:pos="9072"/>
      </w:tabs>
      <w:rPr>
        <w:color w:val="000000"/>
        <w:szCs w:val="18"/>
      </w:rPr>
    </w:pPr>
    <w:r w:rsidRPr="00427A30">
      <w:rPr>
        <w:b/>
        <w:color w:val="000000"/>
        <w:szCs w:val="18"/>
      </w:rPr>
      <w:t xml:space="preserve">Bildiri Adı | </w:t>
    </w:r>
    <w:r w:rsidRPr="00427A30">
      <w:rPr>
        <w:color w:val="000000"/>
        <w:szCs w:val="18"/>
      </w:rPr>
      <w:t xml:space="preserve">Yazar </w:t>
    </w:r>
    <w:proofErr w:type="gramStart"/>
    <w:r w:rsidRPr="00427A30">
      <w:rPr>
        <w:color w:val="000000"/>
        <w:szCs w:val="18"/>
      </w:rPr>
      <w:t>Soyadı,  Adı</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5FF0" w14:textId="77777777" w:rsidR="00033265" w:rsidRDefault="00033265">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E38AB"/>
    <w:multiLevelType w:val="multilevel"/>
    <w:tmpl w:val="5198C23C"/>
    <w:lvl w:ilvl="0">
      <w:start w:val="1"/>
      <w:numFmt w:val="decimal"/>
      <w:lvlText w:val="%1. "/>
      <w:lvlJc w:val="left"/>
      <w:pPr>
        <w:ind w:left="340" w:hanging="340"/>
      </w:pPr>
      <w:rPr>
        <w:b/>
        <w:i w:val="0"/>
        <w:vertAlign w:val="baseline"/>
      </w:rPr>
    </w:lvl>
    <w:lvl w:ilvl="1">
      <w:start w:val="1"/>
      <w:numFmt w:val="decimal"/>
      <w:lvlText w:val="%1.%2. "/>
      <w:lvlJc w:val="left"/>
      <w:pPr>
        <w:ind w:left="1021" w:hanging="1021"/>
      </w:pPr>
      <w:rPr>
        <w:vertAlign w:val="baseline"/>
      </w:rPr>
    </w:lvl>
    <w:lvl w:ilvl="2">
      <w:start w:val="1"/>
      <w:numFmt w:val="decimal"/>
      <w:lvlText w:val="%1.%2.%3.  "/>
      <w:lvlJc w:val="left"/>
      <w:pPr>
        <w:ind w:left="567" w:hanging="567"/>
      </w:pPr>
      <w:rPr>
        <w:vertAlign w:val="baseline"/>
      </w:rPr>
    </w:lvl>
    <w:lvl w:ilvl="3">
      <w:start w:val="1"/>
      <w:numFmt w:val="decimal"/>
      <w:lvlText w:val="%1.%2.%3.%4.  "/>
      <w:lvlJc w:val="left"/>
      <w:pPr>
        <w:ind w:left="680" w:hanging="680"/>
      </w:pPr>
      <w:rPr>
        <w:vertAlign w:val="baseline"/>
      </w:rPr>
    </w:lvl>
    <w:lvl w:ilvl="4">
      <w:start w:val="1"/>
      <w:numFmt w:val="decimal"/>
      <w:lvlText w:val="%1.%2.%3.%4.%5."/>
      <w:lvlJc w:val="left"/>
      <w:pPr>
        <w:ind w:left="794" w:hanging="794"/>
      </w:pPr>
      <w:rPr>
        <w:vertAlign w:val="baseline"/>
      </w:rPr>
    </w:lvl>
    <w:lvl w:ilvl="5">
      <w:start w:val="1"/>
      <w:numFmt w:val="decimal"/>
      <w:lvlText w:val="%1.%2.%3.%4.%5.%6."/>
      <w:lvlJc w:val="left"/>
      <w:pPr>
        <w:ind w:left="357" w:hanging="357"/>
      </w:pPr>
      <w:rPr>
        <w:vertAlign w:val="baseline"/>
      </w:rPr>
    </w:lvl>
    <w:lvl w:ilvl="6">
      <w:start w:val="1"/>
      <w:numFmt w:val="decimal"/>
      <w:lvlText w:val="%1.%2.%3.%4.%5.%6.%7."/>
      <w:lvlJc w:val="left"/>
      <w:pPr>
        <w:ind w:left="357" w:hanging="357"/>
      </w:pPr>
      <w:rPr>
        <w:vertAlign w:val="baseline"/>
      </w:rPr>
    </w:lvl>
    <w:lvl w:ilvl="7">
      <w:start w:val="1"/>
      <w:numFmt w:val="decimal"/>
      <w:lvlText w:val="%1.%2.%3.%4.%5.%6.%7.%8."/>
      <w:lvlJc w:val="left"/>
      <w:pPr>
        <w:ind w:left="357" w:hanging="357"/>
      </w:pPr>
      <w:rPr>
        <w:vertAlign w:val="baseline"/>
      </w:rPr>
    </w:lvl>
    <w:lvl w:ilvl="8">
      <w:start w:val="1"/>
      <w:numFmt w:val="decimal"/>
      <w:lvlText w:val="%1.%2.%3.%4.%5.%6.%7.%8.%9."/>
      <w:lvlJc w:val="left"/>
      <w:pPr>
        <w:ind w:left="357" w:hanging="357"/>
      </w:pPr>
      <w:rPr>
        <w:vertAlign w:val="baseline"/>
      </w:rPr>
    </w:lvl>
  </w:abstractNum>
  <w:num w:numId="1" w16cid:durableId="66185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65"/>
    <w:rsid w:val="00002754"/>
    <w:rsid w:val="00033265"/>
    <w:rsid w:val="0009498F"/>
    <w:rsid w:val="00152D27"/>
    <w:rsid w:val="00191D70"/>
    <w:rsid w:val="00195DBD"/>
    <w:rsid w:val="00243E66"/>
    <w:rsid w:val="00272FE4"/>
    <w:rsid w:val="002B68BF"/>
    <w:rsid w:val="002D1BFE"/>
    <w:rsid w:val="002D28A8"/>
    <w:rsid w:val="003373F4"/>
    <w:rsid w:val="003907CB"/>
    <w:rsid w:val="00396A7A"/>
    <w:rsid w:val="004B502C"/>
    <w:rsid w:val="00537010"/>
    <w:rsid w:val="005727A1"/>
    <w:rsid w:val="005B7130"/>
    <w:rsid w:val="005F1DEF"/>
    <w:rsid w:val="00683F1F"/>
    <w:rsid w:val="00695C91"/>
    <w:rsid w:val="006F4013"/>
    <w:rsid w:val="007372BA"/>
    <w:rsid w:val="00740EB8"/>
    <w:rsid w:val="00817F8F"/>
    <w:rsid w:val="00940065"/>
    <w:rsid w:val="009C5295"/>
    <w:rsid w:val="00A00E66"/>
    <w:rsid w:val="00A230DE"/>
    <w:rsid w:val="00A262E4"/>
    <w:rsid w:val="00A37A37"/>
    <w:rsid w:val="00A811ED"/>
    <w:rsid w:val="00B31C94"/>
    <w:rsid w:val="00BA693D"/>
    <w:rsid w:val="00BC5369"/>
    <w:rsid w:val="00C53F39"/>
    <w:rsid w:val="00D15738"/>
    <w:rsid w:val="00D164AA"/>
    <w:rsid w:val="00E5214E"/>
    <w:rsid w:val="00E83285"/>
    <w:rsid w:val="00E9153B"/>
    <w:rsid w:val="00EA6EA4"/>
    <w:rsid w:val="00F27A0E"/>
    <w:rsid w:val="00F320FA"/>
    <w:rsid w:val="00F909CF"/>
    <w:rsid w:val="00FE2B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9A3C2"/>
  <w15:docId w15:val="{2CDC6AD2-D531-4054-94A6-FC4481FA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semiHidden/>
    <w:unhideWhenUsed/>
    <w:rsid w:val="005E7C9E"/>
    <w:pPr>
      <w:tabs>
        <w:tab w:val="center" w:pos="4536"/>
        <w:tab w:val="right" w:pos="9072"/>
      </w:tabs>
    </w:pPr>
  </w:style>
  <w:style w:type="character" w:customStyle="1" w:styleId="FooterChar">
    <w:name w:val="Footer Char"/>
    <w:basedOn w:val="DefaultParagraphFont"/>
    <w:link w:val="Footer"/>
    <w:uiPriority w:val="99"/>
    <w:semiHidden/>
    <w:rsid w:val="005E7C9E"/>
  </w:style>
  <w:style w:type="character" w:styleId="PageNumber">
    <w:name w:val="page number"/>
    <w:basedOn w:val="DefaultParagraphFont"/>
    <w:uiPriority w:val="99"/>
    <w:semiHidden/>
    <w:unhideWhenUsed/>
    <w:rsid w:val="005E7C9E"/>
  </w:style>
  <w:style w:type="paragraph" w:styleId="ListParagraph">
    <w:name w:val="List Paragraph"/>
    <w:basedOn w:val="Normal"/>
    <w:uiPriority w:val="34"/>
    <w:qFormat/>
    <w:rsid w:val="00FE0256"/>
    <w:pPr>
      <w:ind w:left="720"/>
      <w:contextualSpacing/>
    </w:pPr>
  </w:style>
  <w:style w:type="paragraph" w:styleId="Header">
    <w:name w:val="header"/>
    <w:basedOn w:val="Normal"/>
    <w:link w:val="HeaderChar"/>
    <w:uiPriority w:val="99"/>
    <w:unhideWhenUsed/>
    <w:rsid w:val="002B68BF"/>
    <w:pPr>
      <w:tabs>
        <w:tab w:val="center" w:pos="4680"/>
        <w:tab w:val="right" w:pos="9360"/>
      </w:tabs>
    </w:pPr>
    <w:rPr>
      <w:rFonts w:asciiTheme="minorHAnsi" w:eastAsiaTheme="minorEastAsia" w:hAnsiTheme="minorHAnsi" w:cs="Times New Roman"/>
      <w:sz w:val="22"/>
      <w:szCs w:val="22"/>
    </w:rPr>
  </w:style>
  <w:style w:type="character" w:customStyle="1" w:styleId="HeaderChar">
    <w:name w:val="Header Char"/>
    <w:basedOn w:val="DefaultParagraphFont"/>
    <w:link w:val="Header"/>
    <w:uiPriority w:val="99"/>
    <w:rsid w:val="002B68BF"/>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9/9781845939199.0000" TargetMode="External"/><Relationship Id="rId18" Type="http://schemas.openxmlformats.org/officeDocument/2006/relationships/hyperlink" Target="https://arxiv.org/abs/2004.05269v2" TargetMode="External"/><Relationship Id="rId26" Type="http://schemas.openxmlformats.org/officeDocument/2006/relationships/hyperlink" Target="https://coronavirus.jhu.edu/map.html" TargetMode="External"/><Relationship Id="rId21" Type="http://schemas.openxmlformats.org/officeDocument/2006/relationships/hyperlink" Target="https://doi.org/10.1007/978-3-030-05348-2_2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ergipark.org.tr/tr/pub/nsb/page/9435" TargetMode="External"/><Relationship Id="rId17" Type="http://schemas.openxmlformats.org/officeDocument/2006/relationships/hyperlink" Target="https://bit.ly/2SkWwcy" TargetMode="External"/><Relationship Id="rId25" Type="http://schemas.openxmlformats.org/officeDocument/2006/relationships/hyperlink" Target="https://www.brookings.edu/wp-content/uploads/2019/04/how_playful_learning_can_help_leapfrog_progress_in_education.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77/1045159514558412" TargetMode="External"/><Relationship Id="rId20" Type="http://schemas.openxmlformats.org/officeDocument/2006/relationships/hyperlink" Target="https://westernpsych.org/wp-content/uploads/2019/04/WPA-Program-2019-Final-2.pdf" TargetMode="External"/><Relationship Id="rId29" Type="http://schemas.openxmlformats.org/officeDocument/2006/relationships/hyperlink" Target="https://dictionary.apa.org/internet-addi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instructional-aids/reference-examples.pdf" TargetMode="External"/><Relationship Id="rId24" Type="http://schemas.openxmlformats.org/officeDocument/2006/relationships/hyperlink" Target="https://apps.who.int/iris/bitstream/handle/10665/113048/WHO_NMH_NHD_14.1_eng.pdf?ua=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pon.750" TargetMode="External"/><Relationship Id="rId23" Type="http://schemas.openxmlformats.org/officeDocument/2006/relationships/hyperlink" Target="https://scholarworks.calstate.edu/concern/theses/3197xm925?locale=en" TargetMode="External"/><Relationship Id="rId28" Type="http://schemas.openxmlformats.org/officeDocument/2006/relationships/hyperlink" Target="https://www.newsweek.com/australia-covid-19-vaccine-neutralize-virus-1500849" TargetMode="External"/><Relationship Id="rId36" Type="http://schemas.openxmlformats.org/officeDocument/2006/relationships/fontTable" Target="fontTable.xml"/><Relationship Id="rId10" Type="http://schemas.openxmlformats.org/officeDocument/2006/relationships/hyperlink" Target="http://www.apastyle.org/" TargetMode="External"/><Relationship Id="rId19" Type="http://schemas.openxmlformats.org/officeDocument/2006/relationships/hyperlink" Target="https://bit.ly/2RGcFdn"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37/0000120-016" TargetMode="External"/><Relationship Id="rId22" Type="http://schemas.openxmlformats.org/officeDocument/2006/relationships/hyperlink" Target="https://doi.org/10.1007/978-981-10-4241-6_2" TargetMode="External"/><Relationship Id="rId27" Type="http://schemas.openxmlformats.org/officeDocument/2006/relationships/hyperlink" Target="https://www.pamelarutledge.com/2019/03/11/the-upside-of-social-media/"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G3mVIcWQ5/OSYBEFVyI3YuLBnA==">CgMxLjAyCWguMzBqMHpsbDIIaC5namRneHM4AHIhMVUxQVozcHpwSGZKWTFneWlsb3FYNHdCRHI4cHUycHZ3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1674</Words>
  <Characters>10549</Characters>
  <Application>Microsoft Office Word</Application>
  <DocSecurity>0</DocSecurity>
  <Lines>181</Lines>
  <Paragraphs>78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Setenay Uçar</dc:creator>
  <cp:lastModifiedBy>Onur Yüncü</cp:lastModifiedBy>
  <cp:revision>5</cp:revision>
  <dcterms:created xsi:type="dcterms:W3CDTF">2026-02-21T09:31:00Z</dcterms:created>
  <dcterms:modified xsi:type="dcterms:W3CDTF">2026-02-21T09:53:00Z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0x01010055C3229BBA699A4BA518666397A9AEFD</vt:lpwstr>
  </property>
  <property fmtid="{D5CDD505-2E9C-101B-9397-08002B2CF9AE}" pid="4" name="GrammarlyDocumentId">
    <vt:lpwstr>93f5dbff7c0a3d50b33d3e4bf26a69821b0eae18441349395b8046f2661fcc01</vt:lpwstr>
  </property>
</Properties>
</file>